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887/2007 vom 14. Februar 2008</w:t>
      </w:r>
    </w:p>
    <w:p>
      <w:r>
        <w:t>Bundesgericht, 2008-02-14, DE</w:t>
      </w:r>
    </w:p>
    <w:p>
      <w:r>
        <w:rPr>
          <w:b/>
        </w:rPr>
        <w:t xml:space="preserve">Quelle: </w:t>
      </w:r>
      <w:r>
        <w:t>https://mcp.opencaselaw.ch/entscheid/bger_9C_887_2007</w:t>
      </w:r>
    </w:p>
    <w:p>
      <w:r>
        <w:t>FR: TF 9C 887/2007 du 14 février 2008</w:t>
      </w:r>
    </w:p>
    <w:p>
      <w:r>
        <w:t>IT: TF 9C 887/2007 del 14 febbraio 2008</w:t>
      </w:r>
    </w:p>
    <w:p>
      <w:pPr>
        <w:pStyle w:val="Heading2"/>
      </w:pPr>
      <w:r>
        <w:t>Regeste</w:t>
      </w:r>
    </w:p>
    <w:p>
      <w:r>
        <w:t>Krankenversicherung | Krankenversicherung</w:t>
      </w:r>
    </w:p>
    <w:p>
      <w:pPr>
        <w:pStyle w:val="Heading2"/>
      </w:pPr>
      <w:r>
        <w:t>Erwägungen</w:t>
      </w:r>
    </w:p>
    <w:p>
      <w:r>
        <w:rPr>
          <w:b/>
        </w:rPr>
        <w:t>E. 1</w:t>
      </w:r>
    </w:p>
    <w:p>
      <w:r>
        <w:t>Da die beiden am 13. Dezember 2007 eingereichten Beschwerden in den Verfahren 9C_887/2007 und 9C_890/2007 zwei auf Grund unterschiedlicher Sachverhalte in Betreibung gesetzte Forderungen und auch nicht den gleichen vorinstanzlichen Entscheid betreffen, sind die Verfahren entgegen dem gestellten Beschwerdeantrag Ziff. 3 nicht zu vereinigen.</w:t>
      </w:r>
    </w:p>
    <w:p>
      <w:r>
        <w:rPr>
          <w:b/>
        </w:rPr>
        <w:t>E. 2</w:t>
      </w:r>
    </w:p>
    <w:p>
      <w:r>
        <w:t>Es geht entgegen den Ausführungen in den Beschwerdeanträgen Ziff. 1-3 aus den beiden kantonalen Entscheiden klar hervor, gegen welche Einspracheentscheide Beschwerde erhoben worden ist; auch richten sich die beiden Entscheide trotz Verschrieb im Sachverhalt (Geburtsjahr 1948 statt richtig 1946) unmissverständlich an den Beschwerdeführer.</w:t>
      </w:r>
    </w:p>
    <w:p>
      <w:r>
        <w:rPr>
          <w:b/>
        </w:rPr>
        <w:t>E. 3</w:t>
      </w:r>
    </w:p>
    <w:p>
      <w:r>
        <w:t>Streitgegenstand bildet nur die Frage - und nur soweit ist auf die Beschwerde einzutreten -, ob die Beschwerdegegnerin den Beschwerdeführer zu Recht zur Bezahlung des Betrages von Fr. 1'848.85 zuzüglich der Mahnkosten von Fr. 20.- verpflichtet hat. Namentlich kann die Rechtmässigkeit der fürsorgerischen Freiheitsentziehung im vorliegenden Verfahren nicht überprüft werden.</w:t>
      </w:r>
    </w:p>
    <w:p>
      <w:r>
        <w:rPr>
          <w:b/>
        </w:rPr>
        <w:t>E. 4</w:t>
      </w:r>
    </w:p>
    <w:p>
      <w:r>
        <w:t>Verwaltung und Vorinstanz haben in formell-, materiell- und beweisrechtlicher Hinsicht die für die Beurteilung der strittigen Punkte massgeblichen Grundlagen sowie die diesbezügliche Rechtsprechung zutreffend dargelegt. Darauf wird verwiesen.</w:t>
      </w:r>
    </w:p>
    <w:p>
      <w:r>
        <w:rPr>
          <w:b/>
        </w:rPr>
        <w:t>E. 5</w:t>
      </w:r>
    </w:p>
    <w:p>
      <w:r>
        <w:t>Das kantonale Gericht hat die Gründe, die - soweit auf die Beschwerde einzutreten war - zu deren Abweisung geführt haben, im angefochtenen Entscheid unter einlässlicher Würdigung der gesamten Aktenlage dargelegt. Es hat ihnen in bundesrechtskonformer Weise Rechnung getragen. Die zahlreichen in der letztinstanzlichen Beschwerde vorgebrachten Rügen an die Adresse der Vorinstanz, so insbesondere der Vorwurf des Amtsmissbrauchs, sind unbegründet und es erübrigen sich Erörterungen dazu.</w:t>
      </w:r>
    </w:p>
    <w:p>
      <w:r>
        <w:rPr>
          <w:b/>
        </w:rPr>
        <w:t>E. 6</w:t>
      </w:r>
    </w:p>
    <w:p>
      <w:r>
        <w:t>Der Beschwerdeführer will vor letzter Instanz zu den gestellten Anträgen und den Begründungen zwingend mündlich einvernommen werden (Antrag Ziff. 5). Da das Bundesgericht keine Parteieinvernahmen durchführt, soweit, wie vorliegend, der Sachverhalt klar ist, kann dies nur als Antrag auf Durchführung einer öffentlichen Beratung in Anwesenheit des Beschwerdeführers interpretiert werden. Dazu besteht jedoch kein Anlass. Die Öffentlichkeit der Verhandlung ist primär im erstinstanzlichen Rechtsmittelverfahren zu gewährleisten. Dabei setzt nach der Rechtsprechung die Durchführung einer öffentlichen Verhandlung im Sozialversicherungsprozess einen - im erstinstanzlichen Verfahren zu stellenden - klaren und unmissverständlichen Parteiantrag voraus ( BGE 122 V 47 E. 3a S. 55 mit weiteren Hinweisen; vgl. auch BGE 125 V 37 E. 2 S. 38). Versäumt eine Partei die rechtzeitige Geltendmachung des Anspruchs auf öffentliche Verhandlung, hat dieser deshalb grundsätzlich als verwirkt zu gelten ( BGE 122 V 47 E. 3b/bb S. 56 mit Hinweisen). Nur so bleibt der geforderte einfache und rasche Verfahrensablauf gewährleistet (zur Rechtslage bisher sowie unter dem neuen BGG siehe auch: Seiler/von Werdt/Güngerich, Bundesgerichtsgesetz [BGG], Bern 2007, Art. 59 N 5 f., Niggli/ Uebersax/ Wiprächtiger (Hrsg.), Kommentar zum Bundesgerichtsgesetz, Art. 59 N 1 -6 und 35-41). Der Beschwerdeführer hat vor der kantonalen Instanz die Durchführung einer öffentlichen Verhandlung nicht beantragt und darum seinen Anspruch darauf grundsätzlich verwirkt. Bei der sich präsentierenden Sach-, Beweis- und Rechtslage rechtfertigt sich ein Abweichen von diesem Grundsatz klarerweise nicht.</w:t>
      </w:r>
    </w:p>
    <w:p>
      <w:r>
        <w:rPr>
          <w:b/>
        </w:rPr>
        <w:t>E. 7</w:t>
      </w:r>
    </w:p>
    <w:p>
      <w:r>
        <w:t>Die Beschwerde ist, soweit zulässig, offensichtlich unbegründet und im vereinfachten Verfahren nach Art. 109 Abs. 2 lit. a BGG zu erledigen.</w:t>
      </w:r>
    </w:p>
    <w:p>
      <w:r>
        <w:rPr>
          <w:b/>
        </w:rPr>
        <w:t>E. 8</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