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9C_886/2009 vom 27. April 2010</w:t>
      </w:r>
    </w:p>
    <w:p>
      <w:r>
        <w:t>Bundesgericht, 2010-04-27, FR</w:t>
      </w:r>
    </w:p>
    <w:p>
      <w:r>
        <w:rPr>
          <w:b/>
        </w:rPr>
        <w:t xml:space="preserve">Quelle: </w:t>
      </w:r>
      <w:r>
        <w:t>https://mcp.opencaselaw.ch/entscheid/bger_9C_886_2009</w:t>
      </w:r>
    </w:p>
    <w:p>
      <w:r>
        <w:t>FR: TF 9C_886/2009 du 27 avril 2010</w:t>
      </w:r>
    </w:p>
    <w:p>
      <w:r>
        <w:t>IT: TF 9C_886/2009 del 27 aprile 2010</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jugement entrepris expose correctement les dispositions légales et la jurisprudence applicables en matière d'évaluation de l'invalidité et de révision de la rente, de sorte qu'il suffit d'y renvoyer.</w:t>
      </w:r>
    </w:p>
    <w:p>
      <w:r>
        <w:rPr>
          <w:b/>
        </w:rPr>
        <w:t>E. 2.1</w:t>
      </w:r>
    </w:p>
    <w:p>
      <w:r>
        <w:t>Le Tribunal cantonal des assurances sociales a constaté que le recourant présentait depuis 2005, à la suite de l'amendement de ses troubles psychiatriques, une pleine capacité de travail dans une activité adaptée à ses limitations fonctionnelles. Pour arriver à ce résultat, les premiers juges se sont fondés sur les conclusions de l'expertise, lesquelles étaient confirmées par les observations du médecin psychiatre consulté par le recourant au cours de la procédure de révision. Cette thèse était par ailleurs corroborée par le fait que le recourant n'avait eu aucun traitement psychiatrique (psychothérapeutique ou médicamenteux) ces dernières années. Dans ce contexte, le point de vue du docteur A.________, médecin traitant, ne permettait pas de remettre en cause la valeur des conclusions de l'expertise.</w:t>
      </w:r>
    </w:p>
    <w:p>
      <w:r>
        <w:rPr>
          <w:b/>
        </w:rPr>
        <w:t>E. 2.2</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le Tribunal cantonal des assurances sociales a expliqué de manière circonstanciée les raisons pour lesquelles il considérait que les pièces médicales versées au dossier permettaient de conclure à l'existence d'une modification sensible de l'état de santé psychique du recourant. En se limitant à arguer que le volet psychiatrique de l'expertise réalisée par le BREM ne revêtait aucune valeur probante et qu'il convenait, de fait, de mettre en oeuvre une nouvelle expertise, le recourant ne tente nullement d'établir, au moyen d'une argumentation précise et étayée, le caractère insoutenable de la constatation des faits opérée par les premiers juges et de l'appréciation juridique qu'ils ont faite de la situation. En particulier, le recourant ne fait état d'aucun élément précis qui justifierait, d'un point de vue médical, d'envisager la situation selon une perspective différente et de conclure à l'absence d'évolution de son état de santé psychique. Il ne cherche nullement à démontrer que l'expertise comporterait des contradictions manifestes ou ignorerait des éléments cliniques ou diagnostiques essentiels, et encore moins à expliquer en quoi le point de vue de son médecin traitant serait objectivement mieux fondé que celui des experts ou justifierait la mise en oeuvre d'un complément d'instruction. En tant que les critiques - d'ordre général et polémique - portent sur la valeur probante de l'expertise, respectivement sur la méthodologie utilisée par les experts, elles doivent par ailleurs être écartées, faute de griefs suffisamment motivés. On précisera toutefois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arrêts 9C_661/2009 du 29 septembre 2009 consid. 3.2 et 9C_447/2009 du 15 juillet 2009). En tant qu'il est reproché implicitement au Tribunal cantonal des assurances sociales d'avoir procédé à une constatation manifestement inexacte des faits, le recours doit être rejeté.</w:t>
      </w:r>
    </w:p>
    <w:p>
      <w:r>
        <w:rPr>
          <w:b/>
        </w:rPr>
        <w:t>E. 3.1</w:t>
      </w:r>
    </w:p>
    <w:p>
      <w:r>
        <w:t>Le Tribunal cantonal des assurances sociales a évalué le degré d'invalidité en procédant à une comparaison des revenus. Au titre de revenu sans invalidité, il a retenu le montant de 85'349 fr. 60. Au titre de revenu d'invalide, il a pris en considération, compte tenu de l'activité légère de substitution qui pouvait être exigée du recourant, le salaire tel qu'il résultait de l'Enquête suisse sur la structure des salaires éditée par l'Office fédéral de la statistique auquel pouvait prétendre le recourant dans une activité simple et répétitive, soit 61'489 fr. 90. Compte tenu des limitations fonctionnelles présentées par le recourant, le revenu d'invalide a été réduit de 10 %. La perte de gain qui en résultait était de 35 %, taux n'ouvrant plus droit à une rente d'invalidité.</w:t>
      </w:r>
    </w:p>
    <w:p>
      <w:r>
        <w:rPr>
          <w:b/>
        </w:rPr>
        <w:t>E. 3.2</w:t>
      </w:r>
    </w:p>
    <w:p>
      <w:r>
        <w:t>Pour fixer le revenu d'invalide, le Tribunal cantonal des assurances sociales s'est fondé sur les données économiques statistiques résultant de l'Enquête suisse sur la structure des salaires, singulièrement sur le revenu auquel pouvaient prétendre en 2008 les hommes effectuant des activités simples et répétitives (niveau 4 de qualification). Le recours aux données statistiques concerne avant tout les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non qualifiées compatibles avec des limitations fonctionnelles peu contraignantes. Dans ces conditions, le point de savoir si le recourant peut effectivement exercer l'activité de surveillant mentionnée dans le jugement entrepris importe peu, dès lors qu'il existe sur le marché du travail suffisamment d'activités dans lesquelles il pourrait encore exploiter économiquement sa capacité résiduelle de travail. On relèvera néanmoins que l'expert rhumatologue a lui-même admis que le recourant pouvait exercer des tâches de surveillance, à l'exclusion de celles effectuées en position statique. Cela étant, dans la mesure où le recourant ne remet pas en cause l'application des salaires statistiques dans le cas particulier, le recours doit également être rejeté sur ce point.</w:t>
      </w:r>
    </w:p>
    <w:p>
      <w:r>
        <w:rPr>
          <w:b/>
        </w:rPr>
        <w:t>E. 4</w:t>
      </w:r>
    </w:p>
    <w:p>
      <w:r>
        <w:t>En tous points 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