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9C_885/2011 vom 23. April 2012</w:t>
      </w:r>
    </w:p>
    <w:p>
      <w:r>
        <w:t>Bundesgericht, 2012-04-23, FR</w:t>
      </w:r>
    </w:p>
    <w:p>
      <w:r>
        <w:rPr>
          <w:b/>
        </w:rPr>
        <w:t xml:space="preserve">Quelle: </w:t>
      </w:r>
      <w:r>
        <w:t>https://mcp.opencaselaw.ch/entscheid/bger_9C_885_2011</w:t>
      </w:r>
    </w:p>
    <w:p>
      <w:r>
        <w:t>FR: TF 9C_885/2011 du 23 avril 2012</w:t>
      </w:r>
    </w:p>
    <w:p>
      <w:r>
        <w:t>IT: TF 9C_885/2011 del 23 aprile 2012</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qu'aucune des exceptions prévues à l' art. 83 LTF ne soit réalisée. La voie du recours en matière de droit public est dès lors ouverte. Il s'ensuit que le recours constitutionnel subsidiaire est irrecevable ( art. 113 LTF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en l'espèce sur le bien-fondé de la suppression, par voie de révision, des prestations octroyées à la recourante entre les 1er janvier 2005 et 31 novembre 2009. Le jugement entrepris expose correctement les dispositions légales et les principes jurisprudentiels nécessaires à la résolution du cas de sorte qu'il suffit d'y renvoyer.</w:t>
      </w:r>
    </w:p>
    <w:p>
      <w:r>
        <w:rPr>
          <w:b/>
        </w:rPr>
        <w:t>E. 4.1</w:t>
      </w:r>
    </w:p>
    <w:p>
      <w:r>
        <w:t>L'assurée fait grief aux premiers juges d'avoir d'une part omis d'inclure dans leur appréciation de la situation médicale les répercussions de la problématique psychiatrique sur sa capacité de travail et d'avoir d'autre part ignoré l'évolution de sa situation personnelle pour déterminer quelle proportion de son emploi du temps serait concrètement consacrée à l'exercice d'une activité professionnelle ou à l'accomplissement des travaux ménagers.</w:t>
      </w:r>
    </w:p>
    <w:p>
      <w:r>
        <w:rPr>
          <w:b/>
        </w:rPr>
        <w:t>E. 4.2</w:t>
      </w:r>
    </w:p>
    <w:p>
      <w:r>
        <w:t>Le premier grief invoqué est infondé. Même si le jugement attaqué (p. 12, let. c) ne mentionne l'absence d'éléments nouveaux permettant de remettre en cause la capacité résiduelle de travail de 50 % qu'en relation avec les affections d'ordre somatique, comme le relève la recourante, on constate que le passage en question évoque aussi l'approbation de ce taux de 50 % par le docteur M.________ du SMR. Or, ce praticien a concrètement entériné les propos de la doctoresse B.________ quant à l'existence d'un état stationnaire (englobant des affections somatiques et psychiatriques) par rapport à la situation examinée lors de l'octroi d'une demi-rente (qui n'a pas été contesté judiciairement et est par conséquent entré en force de chose décidée) et en a tiré la conclusion qui s'imposait, à savoir qu'un état de santé stationnaire tant du point de vue somatique que psychiatrique entraîne forcément toujours le même impact sur la capacité de travail. Bien qu'inopportunément rédigé sur ce point, le jugement cantonal ne peut être qualifié d'arbitraire dans ces circonstances.</w:t>
      </w:r>
    </w:p>
    <w:p>
      <w:r>
        <w:rPr>
          <w:b/>
        </w:rPr>
        <w:t>E. 4.3</w:t>
      </w:r>
    </w:p>
    <w:p>
      <w:r>
        <w:t>Le second grief n'est pas plus fondé que le précédent. S'il est vrai que la jurisprudence concernant les déclarations de la première heure (cf. ATF 121 V 45 consid. 2a p. 47) ne constitue pas une règle de droit immuable (cf. arrêt 9C_139/2010 du 29 octobre 2010 consid. 3.2), on relèvera que les premiers juges ne l'ont pas appliquée strictement dès lors qu'ils ont retenu un statut mixte (80 % active, 20 % ménagère) conformément aux déclarations de l'assurée durant l'enquête économique sur le ménage réalisée le 5 mai 2009 et non un statut de ménagère à plein temps comme annoncé dans le questionnaire complémentaire à la demande complété le 23 mai 2008. La juridiction cantonale a estimé qu'il n'y avait pas lieu de s'écarter de la proportion entre activité lucrative et travaux ménagers arrêtée dans le rapport d'enquête à domicile, malgré les arguments évoqués par la recourante dans son recours et sa réplique, dans la mesure où cette solution permettait de prendre en compte la volonté clairement exprimée par l'assurée de s'occuper personnellement de son enfant même si elle pouvait compter sur l'aide de tiers. Cette appréciation n'est pas remise en question par la seule évocation de motifs économiques pour légitimer une augmentation hypothétique de la part active à 90-100 % dans le cas où l'assurée n'aurait pas rencontré de problèmes de santé dès lors que celle-ci n'a pas établi sa situation financière à l'époque de la décision litigieuse et qu'un taux d'occupation professionnelle de 80 % est très vraisemblable étant donné la situation générale (mère d'une fille de deux ans née prématurée, sans activité lucrative depuis de nombreuses années, n'ayant que rarement exercé la profession apprise). On ajoutera également que les explications de la recourante pour justifier ses premières déclarations (renonciation à toute activité lucrative à cause des problèmes de santé de son enfant) et leur modification subséquente (amélioration de l'état de santé de son enfant) ont largement été prises en considération lors de la reconnaissance d'un statut mixte et de la détermination des proportions relatives à l'activité lucrative et aux travaux ménagers. On ne saurait par conséquent reprocher aux premiers juges d'avoir arbitrairement apprécié les circonstances, ni d'avoir violé le droit fédéral ou les règles jurisprudentielles en la matière.</w:t>
      </w:r>
    </w:p>
    <w:p>
      <w:r>
        <w:rPr>
          <w:b/>
        </w:rPr>
        <w:t>E. 4.4</w:t>
      </w:r>
    </w:p>
    <w:p>
      <w:r>
        <w:t>On relèvera encore que l'allusion de l'assurée à une ancienne méthode du Tribunal fédéral pour déterminer le degré d'invalidité sur la part active d'une personne présentant un statut mixte tombe complètement à faux dans la mesure où l'arrêt I 437/04 du 23 juin 2005 consid. 3.6.2 invoqué ne consacre nullement une méthode de calcul mais consiste uniquement en la retranscription d'un raisonnement erroné tenu par une juridiction cantonale dans un cas particulier quant à l'interprétation de données médicales relatives à l'incapacité de travail d'un assuré travaillant à temps partiel (cf. consid. 3.6.3 de l'arrêt cité).</w:t>
      </w:r>
    </w:p>
    <w:p>
      <w:r>
        <w:rPr>
          <w:b/>
        </w:rPr>
        <w:t>E. 5</w:t>
      </w:r>
    </w:p>
    <w:p>
      <w:r>
        <w:t>Vu l'issue du litige, les frais sont mis à la charge de la recourante ( art. 66 al. 1 LTF ) qui ne peut prétendre à des dépens ( art. 68 LTF ). L'assistance judiciaire lui est toutefois octroyée dès lors que les conditions auxquelles l' art. 64 al. 1 et 2 LTF subordonne son attribution sont réalisées. L'assurée est rendue attentive au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