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9C_881/2011 vom 27. Juni 2012</w:t>
      </w:r>
    </w:p>
    <w:p>
      <w:r>
        <w:t>Bundesgericht, 2012-06-27, DE</w:t>
      </w:r>
    </w:p>
    <w:p>
      <w:r>
        <w:rPr>
          <w:b/>
        </w:rPr>
        <w:t xml:space="preserve">Quelle: </w:t>
      </w:r>
      <w:r>
        <w:t>https://mcp.opencaselaw.ch/entscheid/bger_9C_881_2011</w:t>
      </w:r>
    </w:p>
    <w:p>
      <w:r>
        <w:t>FR: TF 9C_881/2011 du 27 juin 2012</w:t>
      </w:r>
    </w:p>
    <w:p>
      <w:r>
        <w:t>IT: TF 9C_881/2011 del 27 giugno 2012</w:t>
      </w:r>
    </w:p>
    <w:p>
      <w:pPr>
        <w:pStyle w:val="Heading2"/>
      </w:pPr>
      <w:r>
        <w:t>Erwägungen</w:t>
      </w:r>
    </w:p>
    <w:p>
      <w:r>
        <w:rPr>
          <w:b/>
        </w:rPr>
        <w:t>E. 1.1</w:t>
      </w:r>
    </w:p>
    <w:p>
      <w:r>
        <w:t>Die Kantone vergüten den Bezügerinnen und Bezügern einer jährlichen Ergänzungsleistung ausgewiesene, im laufenden Jahr entstandene Krankheits- und Behinderungskosten namentlich für Hilfe, Pflege und Betreuung zu Hause ( Art. 14 Abs. 1 lit. b ELG [SR 831.30]).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nicht gedeckt sind ( Art. 14 Abs. 4 ELG in der bis 31. Dezember 2011 geltenden Fassung).</w:t>
      </w:r>
    </w:p>
    <w:p>
      <w:r>
        <w:rPr>
          <w:b/>
        </w:rPr>
        <w:t>E. 1.2</w:t>
      </w:r>
    </w:p>
    <w:p>
      <w:r>
        <w:t>Unter dem Titel "Krankheits- und Behinderungskosten" lautet § 8 Abs. 3 des schwyzerischen Gesetzes vom 28. März 2007 über Ergänzungsleistungen zur Alters-, Hinterlassenen- und Invalidenversicherung (ELG-SZ; SRSZ 362.200) wie folgt: "Die Höchstbeträge der Vergütungen richten sich nach dem Bundesgesetz ( Art. 14 ELG )."</w:t>
      </w:r>
    </w:p>
    <w:p>
      <w:r>
        <w:rPr>
          <w:b/>
        </w:rPr>
        <w:t>E. 2</w:t>
      </w:r>
    </w:p>
    <w:p>
      <w:r>
        <w:t>Die Vorinstanz ist der Auffassung, der kantonale Gesetzgeber habe mit § 8 Abs. 3 ELG -SZ zum Ausdruck gebracht, dass er die bundesrechtlichen Mindestbeträge als Anspruchsbegrenzung erachte und mit seinen Leistungen nicht darüber hinausgehen wolle. Die Bestimmung stehe namentlich nicht im Widerspruch zu Art. 14 Abs. 3 und 4 ELG und die Beschränkung der Vergütung von Krankheits- und Behinderungskosten auf jährlich Fr. 90'000.- verletze auch sonst kein Bundesrecht.</w:t>
      </w:r>
    </w:p>
    <w:p>
      <w:r>
        <w:t>Der Beschwerdeführer rügt eine unrichtige Anwendung des Gesetzes ( § 8 Abs. 3 ELG -SZ in Verbindung mit Art. 14 Abs. 3 und 4 ELG ). Überdies macht er eine Ungleichbehandlung von zu Hause und im Heim lebenden pflegebedürftigen Personen geltend, worin er eine Verletzung des Gleichbehandlungsgebotes von Art. 8 Abs. 1 BV resp. des Diskriminierungsverbotes von Art. 14 EMRK sowie des Rechts auf Privat- und Familienleben gemäss Art. 13 Abs. 1 BV und Art. 8 Ziff. 1 EMRK sieht.</w:t>
      </w:r>
    </w:p>
    <w:p>
      <w:r>
        <w:rPr>
          <w:b/>
        </w:rPr>
        <w:t>E. 3.1</w:t>
      </w:r>
    </w:p>
    <w:p>
      <w:r>
        <w:t>Das Bundesgericht prüft die Handhabung kantonalen Rechts - vorbehältlich der in Art. 95 lit. c und d BGG genannten Fälle - bloss auf Willkür hin ( Art. 9 BV ). Mit freier Kognition beurteilt es indessen die Frage, ob die willkürfreie Auslegung des kantonalen Rechts mit den durch BV und EMRK garantierten Grundrechten vereinbar ist (Urteil 9C_149/2007 vom 4. Juni 2007 E. 3.3 mit Hinweis auf BGE 129 V 335 E.1.3.2 S. 338).</w:t>
      </w:r>
    </w:p>
    <w:p>
      <w:r>
        <w:rPr>
          <w:b/>
        </w:rPr>
        <w:t>E. 3.2</w:t>
      </w:r>
    </w:p>
    <w:p>
      <w:r>
        <w:t>Die Verletzung von Grundrechten (einschliesslich der willkürlichen Anwendung von kantonalem Recht, BGE 133 II 249 E. 1.4.3 S. 255) prüft das Bundesgericht nicht von Amtes wegen, sondern nur insoweit, als eine solche Rüge in der Beschwerde vorgebracht und begründet worden ist ( Art. 106 Abs. 2 BGG ; BGE 133 II 249 E. 1.4.2 S. 254 mit Hinweisen).</w:t>
      </w:r>
    </w:p>
    <w:p>
      <w:r>
        <w:rPr>
          <w:b/>
        </w:rPr>
        <w:t>E. 3.3.1</w:t>
      </w:r>
    </w:p>
    <w:p>
      <w:r>
        <w:t>Dem Beschwerdeführer ist zwar beizupflichten, dass das Bundesrecht mit Art. 14 Abs. 3 und 4 ELG keine Höchstbeträge für Kostenvergütungen vorsieht, sondern lediglich für kantonalrechtliche Leistungslimitierungen untere Grenzen setzt. Die vorinstanzliche Auslegung von § 8 Abs. 3 ELG -SZ, wonach der Kanton damit von der Ermächtigung zur Festlegung von Höchstbeträgen Gebrauch machte und diese den bundesrechtlichen Mindestbeträgen (vgl. Art. 14 Abs. 3 und 4 ELG ) entsprechen, ist indessen - namentlich angesichts des Wortlautes der kantonalen Bestimmung und mit Blick auf die Materialien (vgl. E. 3.3.2) - im Ergebnis nicht willkürlich (vgl. dazu BGE 134 II 124 E. 4.1 S. 133 ; 133 I 149 E. 3.1 S. 153 mit Hinweisen). Das wird denn auch nicht geltend gemacht, weshalb sich diesbezügliche Weiterungen erübrigen (E. 3.2). Die kantonale Norm genügt auch den Anforderungen an die Bestimmtheit: Der Umstand, dass über die Auslegung einer Regelung verschiedene Auffassungen vertreten werden können, trifft häufig zu und liegt regelmässig in der Natur der Sache. Zudem ist der Verweis auf die bundesrechtlich festgesetzten Mindestbeträge zulässig, zumal diese nur vom (Bundes-)Gesetzgeber in einem klar geregelten Verfahren geändert werden können, womit namentlich den Grundsätzen der Rechtssicherheit sowie der Berechenbarkeit und Vorhersehbarkeit staatlichen Handelns Genüge getan ist (vgl. BGE 135 I 169 E. 5.4.1 S. 173).</w:t>
      </w:r>
    </w:p>
    <w:p>
      <w:r>
        <w:rPr>
          <w:b/>
        </w:rPr>
        <w:t>E. 3.3.2</w:t>
      </w:r>
    </w:p>
    <w:p>
      <w:r>
        <w:t>Dass mit der kantonalen Leistungsbegrenzung die bundesrechtlich festgelegte Mindesthöhe unterschritten oder Art. 14 ELG sonst wie verletzt sein soll, ist nicht ersichtlich. Bereits nach der früheren, im Rahmen der Neugestaltung des Finanzausgleichs und der Aufgabenteilung zwischen Bund und Kantonen (NFA [AS 2007 5779]) auf den 31. Dezember 2007 aufgehobenen bundesrechtlichen Regelung (Art. 3d Abs. 2bis aELG [AS 2003 3857]) war die Kostenvergütung für Krankheits- und Behinderungskosten bei schwer hilflosen Personen auf Fr. 90'000.- beschränkt. Anlässlich der Aufgabenneuverteilung sollte eine Verschlechterung der Stellung versicherter Personen vermieden werden, indessen wurde den Kantonen auch keine umfangreichere Leistungspflicht als die bisherige auferlegt (Botschaft vom 7. September 2005 zur NFA-Ausführungsgesetzgebung; BBl 2005 6224 Ziff. 2.9.8.2.2). Die schwyzerische Regelung, mit welcher die Ergänzungsleistungen für Krankheits- und Behinderungskosten unter Einhaltung der Mindestbeträge von Art. 14 Abs. 3 und 4 ELG limitiert werden, steht daher im Einklang mit den bundesgesetzlichen Vorgaben.</w:t>
      </w:r>
    </w:p>
    <w:p>
      <w:r>
        <w:rPr>
          <w:b/>
        </w:rPr>
        <w:t>E. 3.4</w:t>
      </w:r>
    </w:p>
    <w:p>
      <w:r>
        <w:t>Es trifft zu, dass für den Beschwerdeführer in finanzieller Hinsicht möglicherweise eine günstigere Situation resultieren würde, wenn er nicht (mehr) zu Hause, sondern in einer Institution lebte, weil in diesem Fall der Kanton ungedeckte Krankheitskosten - jedenfalls soweit sie mit diesem Aufenthalt in Zusammenhang stehen - zu übernehmen hätte ( Art. 7 des Bundesgesetzes vom 6. Oktober 2006 über die Institutionen zur Förderung der Eingliederung von invaliden Personen [IFEG; SR 831.26] ). Nach Auffassung des Versicherten stellt dies eine ungerechtfertigte Ungleichbehandlung und, wenn er nicht Sozialhilfe beanspruchen will, faktisch einen "Heimzwang" dar, wodurch die bisher gelebte Hausgemeinschaft mit den Eltern verunmöglicht werde.</w:t>
      </w:r>
    </w:p>
    <w:p>
      <w:r>
        <w:rPr>
          <w:b/>
        </w:rPr>
        <w:t>E. 3.5</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Aus den Grundrechten kann in der Regel kein direkter Anspruch auf positive staatliche Leistungen abgeleitet werden. Bei der Auslegung sozialversicherungsrechtlicher Leistungsnormen sowie bei der Ermessenshandhabung ist jedoch den Grundrechten und verfassungsmässigen Grundsätzen Rechnung zu tragen, soweit dies im Rahmen von Art. 190 BV , wonach Bundesgesetze und Völkerrecht für das Bundesgericht und die anderen rechtsanwendenden Behörden massgebend sind, möglich ist ( BGE 134 I 105 E. 5 S. 109 f.; SVR 2009 IV Nr. 49 S. 149, 8C_315/2008 E. 3.4.2.1).</w:t>
      </w:r>
    </w:p>
    <w:p>
      <w:r>
        <w:rPr>
          <w:b/>
        </w:rPr>
        <w:t>E. 3.6.1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136 I 1 E. 4.1 S. 5; 135 V 361 E. 5.4.1 S. 369 ; 134 I 23 E. 9.1 S. 42).</w:t>
      </w:r>
    </w:p>
    <w:p>
      <w:r>
        <w:rPr>
          <w:b/>
        </w:rPr>
        <w:t>E. 3.6.2</w:t>
      </w:r>
    </w:p>
    <w:p>
      <w:r>
        <w:t>Das IFEG bezweckt, invaliden Personen den Zugang zu einer Institution zur Förderung der Eingliederung zu gewährleisten ( Art. 1 IFEG ). Entsprechend den Vorgaben von Art. 112 Abs. 2 und 3 BV war es die Absicht des Gesetzgebers, jeder invaliden Person, die darauf angewiesen ist und dies wünscht, den Zugang zu einer angemessenen Institution zu gewährleisten, und zwar insbesondere unabhängig von ihren finanziellen Mitteln (BBl 2005 6204 Ziff. 2.9.4.4 zu Art. 1). Das gewährleistete Angebot darf grundsätzlich nur Institutionen umfassen, deren Kosten die Mittel invalider Personen nicht übersteigen; andernfalls haben sich die Kantone daran zu beteiligen (BBl 2005 6207 f. Ziff. 2.9.4.4 zu Art. 7). Das Ziel, eine durch einen Pflegeheimaufenthalt bewirkte Sozialhilfeabhängigkeit zu verhindern, kann indessen nicht gleichgesetzt werden mit jenem, eine solche für alle invaliden Personen zu vermeiden. Davon abgesehen steht im Übrigen nicht von vornherein fest, dass der öffentlichen Hand durch den Aufenthalt in einer Eingliederungsinstitution insgesamt - sei es über die Sozialversicherung oder die kantonale Verwaltung - höhere Kosten erwachsen, als wenn die invalide Person zu Hause lebt. Weiter hat die Vorinstanz zutreffend erkannt, dass die Möglichkeiten des Kantons zur Steuerung des Kostenmanagements nur bei Institutionen gemäss IFEG, nicht aber bei zu Hause betreuten Versicherten gegeben sind. Dass für solche Personen keine "Defizitgarantie" im Sinne eines Anspruchs auf betragsmässig unbegrenzte Ergänzungsleistungen besteht, entbehrt nach dem Gesagten nicht eines sachlichen und vernünftigen Grundes. Ein solcher Anspruch kann deshalb auch nicht aus Art. 7 IFEG in Verbindung mit Art. 8 Abs. 1 BV hergeleitet werden.</w:t>
      </w:r>
    </w:p>
    <w:p>
      <w:r>
        <w:rPr>
          <w:b/>
        </w:rPr>
        <w:t>E. 3.7</w:t>
      </w:r>
    </w:p>
    <w:p>
      <w:r>
        <w:t>Die Begrenzung der Ergänzungsleistungen gilt namentlich für alle invaliden Personen gleichermassen, auf welche die kantonale Bestimmung von § 8 Abs. 3 ELG -SZ anwendbar ist. Soweit sich der Beschwerdeführer auf das Diskriminierungsverbot von Art. 8 Abs. 2 BV und Art. 14 EMRK beruft, legt er nicht dar, inwiefern die unterschiedliche Behandlung an ein verpöntes Kriterium ( BGE 134 I 105 E. 5 S. 108 f.; Urteil 9C_886/2010 vom 10. Juni 2011 E. 3.2) anknüpfen soll. Darauf ist nicht weiter einzugehen (E. 3.2).</w:t>
      </w:r>
    </w:p>
    <w:p>
      <w:r>
        <w:rPr>
          <w:b/>
        </w:rPr>
        <w:t>E. 3.8.1</w:t>
      </w:r>
    </w:p>
    <w:p>
      <w:r>
        <w:t>Gemäss Art. 8 EMRK hat jede Person das Recht auf Achtung ihres Familienlebens. Aus dieser Norm lässt sich kein Anspruch auf finanzielle Leistungen zugunsten von Familien ableiten (CHRISTOPH GRABENWARTER/KATHARINA PABEL, Europäische Menschenrechtskonvention, 5. Aufl. 2012, § 22 S. 238 Rz. 21). Die Bestimmung begründet jedoch ein Recht auf Zusammenleben und auf persönliche Kontakte unter den Familienmitgliedern (JENS MEYER-LADEWIG, Europäische Menschenrechtskonvention, Handkommentar, 3. Aufl. 2011, N. 53 zu Art. 8 EMRK ). Im Anschluss an diese konventionsrechtliche Garantie gewährleistet auch Art. 13 Abs. 1 BV den Anspruch jeder Person auf Achtung ihres Familienlebens (SVR 2009 IV Nr. 49 S. 149, 8C_315/2008 E. 3.4.2.2).</w:t>
      </w:r>
    </w:p>
    <w:p>
      <w:r>
        <w:rPr>
          <w:b/>
        </w:rPr>
        <w:t>E. 3.8.2</w:t>
      </w:r>
    </w:p>
    <w:p>
      <w:r>
        <w:t>Der Beschwerdeführer rügt zu Recht nicht einen (staatlichen) Eingriff in das Familienleben: Soweit er geltend macht, aus der Festlegung eines Höchstbetrages für die Ergänzungsleistungen ergebe sich die Konsequenz eines Heimeintritts, kann ihm nicht gefolgt werden, zumal sich an der Wohnsituation bisher auch tatsächlich nichts geändert zu haben scheint. Der angefochtene Entscheid bedeutet denn auch keinen Zwang, sich in institutionelle Pflege zu begeben und keine Pflicht, die Familie auseinanderzureissen; er besagt nur, dass nicht sämtliche behinderungsbedingten Kosten von der Sozialversicherung gedeckt werden, worauf die Grundrechte aber keinen Anspruch geben (Urteil 9C_886/2010 vom 10. Juni 2011 E. 3.2).</w:t>
      </w:r>
    </w:p>
    <w:p>
      <w:r>
        <w:rPr>
          <w:b/>
        </w:rPr>
        <w:t>E. 3.9</w:t>
      </w:r>
    </w:p>
    <w:p>
      <w:r>
        <w:t>Nach dem Gesagten liegt in der gesetzlich vorgesehenen Möglichkeit, die Ergänzungsleistungen für Krankheits- und Behinderungskosten zu limitieren (E. 1.1), keine Verletzung der angerufenen Grundrechte. Ebenso verbleibt angesichts des klaren Wortlauts für die Auslegung von Art. 14 ELG mit Blick auf die Grundrechte kein Spielraum in dem Sinn, dass die Festsetzung eines Höchstbetrages unzulässig sein soll, soweit diesbezüglich überhaupt eine Überprüfungsbefugnis gegeben ist (vgl. E. 3.5 in fine). Die Beschwerde ist unbegründet.</w:t>
      </w:r>
    </w:p>
    <w:p>
      <w:r>
        <w:rPr>
          <w:b/>
        </w:rPr>
        <w:t>E. 4</w:t>
      </w:r>
    </w:p>
    <w:p>
      <w:r>
        <w:t>Dem Ausgang des Verfahrens entsprechend hat der Beschwerdeführer grundsätzlich die Gerichtskosten zu tragen ( Art. 66 Abs. 1 BGG ). Seinem Gesuch um unentgeltliche Prozessführung und Verbeiständung kann jedoch entsprochen werden ( Art. 64 BGG ; BGE 125 V 201 E. 4a S. 202), da die Voraussetzungen dafür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