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9C_881/2010 vom 23. August 2011</w:t>
      </w:r>
    </w:p>
    <w:p>
      <w:r>
        <w:t>Bundesgericht, 2011-08-23, FR</w:t>
      </w:r>
    </w:p>
    <w:p>
      <w:r>
        <w:rPr>
          <w:b/>
        </w:rPr>
        <w:t xml:space="preserve">Quelle: </w:t>
      </w:r>
      <w:r>
        <w:t>https://mcp.opencaselaw.ch/entscheid/bger_9C_881_2010</w:t>
      </w:r>
    </w:p>
    <w:p>
      <w:r>
        <w:t>FR: TF 9C_881/2010 du 23 août 2011</w:t>
      </w:r>
    </w:p>
    <w:p>
      <w:r>
        <w:t>IT: TF 9C_881/2010 del 23 agosto 2011</w:t>
      </w:r>
    </w:p>
    <w:p>
      <w:pPr>
        <w:pStyle w:val="Heading2"/>
      </w:pPr>
      <w:r>
        <w:t>Erwägungen</w:t>
      </w:r>
    </w:p>
    <w:p>
      <w:r>
        <w:rPr>
          <w:b/>
        </w:rPr>
        <w:t>E. 1</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w:t>
      </w:r>
    </w:p>
    <w:p>
      <w:r>
        <w:t>Le litige, relatif au droit de l'intimé à une rente de l'assurance-invalidité, porte sur le point de savoir s'il a droit à une rente entière au-delà du 31 mai 2008, singulièrement si sa situation s'est modifiée dès février 2008 en ce qui concerne l'état de santé et son incidence sur la capacité de travail et de gain.</w:t>
      </w:r>
    </w:p>
    <w:p>
      <w:r>
        <w:rPr>
          <w:b/>
        </w:rPr>
        <w:t>E. 2.1</w:t>
      </w:r>
    </w:p>
    <w:p>
      <w:r>
        <w:t>Le jugement entrepris expose correctement les règles légales ainsi que la jurisprudence sur les conditions d'octroi d'une rente de l'assurance-invalidité, le calcul du taux d'invalidité et la valeur probante des avis médicaux. Il suffit donc d'y renvoyer.</w:t>
      </w:r>
    </w:p>
    <w:p>
      <w:r>
        <w:rPr>
          <w:b/>
        </w:rPr>
        <w:t>E. 2.2</w:t>
      </w:r>
    </w:p>
    <w:p>
      <w:r>
        <w:t>Les règles et principes jurisprudentiels sur la révision du droit à une rente d'invalidité ( art. 17 al. 1 LPGA ; ATF 130 V 343 consid. 3.5 p. 349; voir également ATF 133 V 545 ) sont applicables lorsque la décision de l'assurance-invalidité accordant une rente avec effet rétroactif prévoit en même temps la suppression de cette rente ( ATF 131 V 164 consid. 2.2 p. 165, 125 V 413 consid. 2d p. 417 s. et les références).</w:t>
      </w:r>
    </w:p>
    <w:p>
      <w:r>
        <w:rPr>
          <w:b/>
        </w:rPr>
        <w:t>E. 3</w:t>
      </w:r>
    </w:p>
    <w:p>
      <w:r>
        <w:t>La juridiction cantonale a retenu que l'intimé était totalement incapable de travailler dans toute activité depuis le 24 mars 2006, sans qu'aucun changement soit intervenu vu que l'amélioration retenue par l'office AI dès février 2008 n'était pas confirmée.</w:t>
      </w:r>
    </w:p>
    <w:p>
      <w:r>
        <w:rPr>
          <w:b/>
        </w:rPr>
        <w:t>E. 3.1</w:t>
      </w:r>
    </w:p>
    <w:p>
      <w:r>
        <w:t>On relèvera que le jugement entrepris ne contient aucune constatation de l'autorité précédente sur le point de savoir s'il y a eu un changement dès février 2008 de la situation de l'intimé en ce qui concerne son état de santé, singulièrement si une modification sensible de celui-ci est intervenue à partir de ce moment-là. Il convient dès lors de compléter l'état de fait cantonal sur ce plan-là. Il ressort de l'examen médical final du docteur O.________ du 14 février 2008 qu'au niveau du genou gauche et de l'épaule gauche, la situation ne s'était pas modifiée d'une manière essentielle depuis une année et qu'il était donc raisonnable d'admettre que la situation était stabilisée. Il en allait de même en ce qui concerne la cheville gauche, sept mois après une fracture non déplacée de la malléole interne. Dans son rapport du 22 mai 2008, la doctoresse N.________ a conclu sur cette base à un état de santé stabilisé dès février 2008. Sur le vu de l'examen médical final du docteur O.________ du 14 février 2008, qui se fonde sur un examen médical complet et l'examen des radiographies, et du rapport de la doctoresse N.________ du 22 mai 2008 (confirmé dans son avis du 29 janvier 2009), il convient de retenir une modification sensible de l'état de santé de l'intimé, laquelle réside dans le caractère stabilisé de l'atteinte à la santé, survenu à partir de février 2008.</w:t>
      </w:r>
    </w:p>
    <w:p>
      <w:r>
        <w:rPr>
          <w:b/>
        </w:rPr>
        <w:t>E. 3.2</w:t>
      </w:r>
    </w:p>
    <w:p>
      <w:r>
        <w:t>Il résulte de ce qui précède que tant que l'état de santé de l'intimé n'était pas stabilisé, l'examen portait sur la capacité de travail dans l'activité habituelle, et que depuis sa stabilisation en février 2008 l'examen devait porter sur la capacité de travail exigible dans une activité adaptée. Il aurait donc fallu que la juridiction cantonale examine l'incidence de la modification sensible de l'état de santé dès février 2008 sur la capacité de travail exigible de l'intimé dans une activité adaptée, point sur lequel l'ordonnance d'expertise du 23 mars 2010 ne portait pas et qui est toutefois déterminant pour trancher la question de savoir si le droit de l'intimé à une rente d'invalidité a subi une modification notable au sens de l' art. 17 al. 1 LPGA .</w:t>
      </w:r>
    </w:p>
    <w:p>
      <w:r>
        <w:t>Du jugement entrepris, il ressort que l'autorité précédente a constaté qu'aucune modification n'était intervenue en ce qui concerne la capacité de travail de l'intimé en se fondant essentiellement sur l'expertise du docteur S.________ du 21 avril 2010, complétée le 21 juin 2010. Il convient de relever que cette expertise n'a pas été réalisée de manière conforme aux règles prévalant dans le domaine de l'expertise assécurologique, dans la mesure où les douleurs et les limitations fonctionnelles invoquées par l'intimé ont été retenues telles quelles par l'expert. En outre, des éléments n'entrant pas dans le champ de l'invalidité ont été pris en compte par l'expert, ce que la juridiction cantonale a relevé dans une lettre du 17 juin 2010 où elle l'invitait à évaluer la capacité de travail en faisant abstraction de ces éléments (âge du patient, absence de formation, échec d'une tentative de réadaptation, marché du travail, installation de l'assuré dans son handicap), même si l'expert s'en est défendu après coup dans son rapport complémentaire du 21 "avril" (recte: juin) 2010. L'expertise du docteur S.________ - dont on relèvera qu'elle n'a pas été établie en pleine connaissance de l'anamnèse, laquelle est partielle et fantaisiste, sans évocation des rapports au dossier, et que la capacité de travail retenue par l'expert D.________ dans une activité adaptée a été prise en compte de manière erronée par l'expert -, ne remplit donc pas les critères jurisprudentiels permettant de reconnaître à un rapport médical pleine valeur probante ( ATF 125 V 351 consid. 3a p. 352, 122 V 157 consid. 1c p. 160).</w:t>
      </w:r>
    </w:p>
    <w:p>
      <w:r>
        <w:t>Il convient dès lors d'annuler le jugement entrepris et de renvoyer la cause à la juridiction cantonale pour qu'elle procède à une instruction complémentaire sur la capacité de travail exigible de l'intimé dans une activité adaptée à partir de la survenance en février 2008 du caractère stabilisé de l'atteinte à la santé et mette en oeuvre une nouvelle expertise, conforme cette fois aux règles prévalant dans le domaine de l'expertise assécurologique, et qu'elle statue sur le point de savoir si le droit de l'intimé à une rente d'invalidité a subi une modification notable au sens de l' art. 17 al. 1 LPGA . Le recours est bien fondé.</w:t>
      </w:r>
    </w:p>
    <w:p>
      <w:r>
        <w:rPr>
          <w:b/>
        </w:rPr>
        <w:t>E. 4</w:t>
      </w:r>
    </w:p>
    <w:p>
      <w:r>
        <w:t>Vu l'issue du litige, l'intimé doit être considéré comme la partie qui succombe, dans la mesure où le jugement entrepris est modifié à son détriment ( ATF 123 V 156 consid. 3c p. 158). Les frais judiciaires doivent dès lors être mis à sa charge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