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86/2020 vom 14. Februar 2020</w:t>
      </w:r>
    </w:p>
    <w:p>
      <w:r>
        <w:t>Bundesgericht, 2020-02-14, DE</w:t>
      </w:r>
    </w:p>
    <w:p>
      <w:r>
        <w:rPr>
          <w:b/>
        </w:rPr>
        <w:t xml:space="preserve">Quelle: </w:t>
      </w:r>
      <w:r>
        <w:t>https://mcp.opencaselaw.ch/entscheid/bger_9C_86_2020</w:t>
      </w:r>
    </w:p>
    <w:p>
      <w:r>
        <w:t>FR: TF 9C 86/2020 du 14 février 2020</w:t>
      </w:r>
    </w:p>
    <w:p>
      <w:r>
        <w:t>IT: TF 9C 86/2020 del 14 febbraio 2020</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14.02.2020 9C 86/2020 (9C_86/2020) Tribunal fédéral IVe Cour de droit public (IIe Cour de droit social) 14.02.2020 9C 86/2020 (9C_86/2020) Tribunale federale IV Corte di diritto pubblico (II Corte di diritto sociale) 14.02.2020 9C 86/2020 (9C_86/2020)</w:t>
      </w:r>
    </w:p>
    <w:p>
      <w:r>
        <w:t>Alters- und Hinterlassenenversicherung | Alters- und Hinterlassenenversicherung</w:t>
      </w:r>
    </w:p>
    <w:p>
      <w:r>
        <w:t>Bundesgericht Tribunal fédéral Tribunale federale Tribunal federal 9C_86/2020 Urteil vom 14. Februar 2020 II. sozialrechtliche Abteilung Besetzung Bundesrichter Meyer, als Einzelrichter, Gerichtsschreiberin Stanger. Verfahrensbeteiligte A.________, Beschwerdeführer, gegen Ausgleichskasse des Kantons St. Gallen, Brauerstrasse 54, 9016 St. Gallen, Beschwerdegegnerin. Gegenstand Alters- und Hinterlassenenversicherung, Beschwerde gegen den Entscheid des Versicherungsgerichts des Kantons St. Gallen vom 16. Dezember 2019 (AHV 2018/10). Nach Einsicht in die Beschwerde vom 30. Januar 2020 (Poststempel) gegen den Entscheid des Versicherungsgerichts des Kantons St. Gallen vom 16. Dezember 2019 betreffend Schadenersatz nach Art. 52 AHVG ,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betreffenden Entscheids massgeblichen Erwägungen einzugehen und im Einzelnen aufzuzeigen ist, welche Vorschriften und weshalb sie von der Vorinstanz verletzt worden sind ( BGE 134 V 53 E. 3.3 S. 60; 133 IV 286 E. 1.4 S. 287), während rein appellatorische Kritik nicht genügt ( BGE 145 I 26 E. 1.3 S. 30 mit Hinweisen), dass die Eingabe des Beschwerdeführers, welche sich in weiten Teilen darauf beschränkt, den angefochtenen Entscheid wiederzugeben, diese gesetzlichen Mindestanforderungen offensichtlich nicht erfüllt, da ihr keine hinreichende inhaltliche Auseinandersetzung mit den entscheidwesentlichen Erwägungen betreffend die vom kantonalen Gericht im Einzelnen geprüfte Schadenersatzforderung von Fr. 31'382.05 zu entnehmen ist, dass der Beschwerdeführer zwar eine Befangenheit des kantonalen Gerichts sowie eine Verletzung des rechtlichen Gehörs und des Untersuchungsgrundsatzes rügt, da im kantonalen Beschwerdeverfahren Abklärungen unterblieben und wichtige Beweise nicht gewürdigt oder falsch interpretiert worden seien, er es indessen mit pauschalen Behauptungen bewenden lässt, und somit auch nicht ansatzweise darlegt,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an der unzureichenden Beschwerdebegründung auch die vor Bundesgericht eingereichten Unterlagen, soweit es sich dabei nicht ohnehin um unzulässige Noven im Sinne von Art. 99 Abs. 1 BGG handelt, nichts zu ändern vermögen, dass deshalb im vereinfachten Verfahren nach Art. 108 Abs. 1 lit. b BGG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Versicherungsgericht des Kantons St. Gallen und dem Bundesamt für Sozialversicherungen schriftlich mitgeteilt. Luzern, 14. Februar 2020 Im Namen der II. sozialrechtlichen Abteilung des Schweizerischen Bundesgerichts Der Einzelrichter: Meyer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