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9C_869/2014 vom 15. Juni 2015</w:t>
      </w:r>
    </w:p>
    <w:p>
      <w:r>
        <w:t>Bundesgericht, 2015-06-15, DE</w:t>
      </w:r>
    </w:p>
    <w:p>
      <w:r>
        <w:rPr>
          <w:b/>
        </w:rPr>
        <w:t xml:space="preserve">Quelle: </w:t>
      </w:r>
      <w:r>
        <w:t>https://mcp.opencaselaw.ch/entscheid/bger_9C_869_2014</w:t>
      </w:r>
    </w:p>
    <w:p>
      <w:r>
        <w:t>FR: TF 9C_869/2014 du 15 juin 2015</w:t>
      </w:r>
    </w:p>
    <w:p>
      <w:r>
        <w:t>IT: TF 9C_869/2014 del 15 giugno 2015</w:t>
      </w:r>
    </w:p>
    <w:p>
      <w:pPr>
        <w:pStyle w:val="Heading2"/>
      </w:pPr>
      <w:r>
        <w:t>Erwägungen</w:t>
      </w:r>
    </w:p>
    <w:p>
      <w:r>
        <w:rPr>
          <w:b/>
        </w:rPr>
        <w:t>E. 1</w:t>
      </w:r>
    </w:p>
    <w:p>
      <w:r>
        <w:t>Die Vorinstanz hat als Streitgegenstand die Höhe der Invalidenleistungen (Invalidenrente der Klägerin, Invaliden-Kinderrente für deren Sohn) ab 1. Juni 2009 bezeichnet. Die Beschwerdeführerin rügt, damit habe das kantonale Berufsvorsorgegericht das Feststellungsbegehren in Ziffer 1 der Klage in Verletzung der Dispositionsmaxime in ein Leistungsbegehren abgeändert. Auf ihre Vorbringen ist indessen nicht einzugehen, da sie sich auch nicht ansatzweise mit den diesbezüglichen Erwägungen im angefochtenen Entscheid auseinandersetzt ( Art. 42 Abs. 2 BGG ; BGE 138 I 171 E. 1.4 S. 176; Urteil 2C_413/2014 vom 11. Mai 2014 E. 2.1). Insbesondere macht sie nicht geltend noch legt sie dar, inwiefern die Regel verletzt ist, dass Rechtsbegehren nach Treu und Glauben im Lichte der dazu gegebenen Begründung auszulegen sind (Urteile 9C_671/2014 vom 30. Januar 2015 E. 2.1, 5A_621/2012 vom 20. März 2013 E. 4.1 und 4A_551/2008 vom       12. Mai 2009 E. 2.2).</w:t>
      </w:r>
    </w:p>
    <w:p>
      <w:r>
        <w:rPr>
          <w:b/>
        </w:rPr>
        <w:t>E. 2.1</w:t>
      </w:r>
    </w:p>
    <w:p>
      <w:r>
        <w:t>Die Vorinstanz ist in einem ersten Schritt zum Ergebnis gelangt, die beklagte Vorsorgeeinrichtung habe die gestützt auf den invalidenversicherungsrechtlichen Invaliditätsgrad von 50 % bzw. 60 % ausgerichteten Invalidenleistungen in Analogie zu Art. 17 Abs. 1 ATSG lediglich nach einer wesentlichen Änderung in den tatsächlichen Verhältnissen anpassen oder einstellen dürfen. Diese Rechtsauffassung verletzt Bundesrecht, wie die Beschwerdeführerin rügt.</w:t>
      </w:r>
    </w:p>
    <w:p>
      <w:r>
        <w:t>Selbst dort, wo das Vorsorgereglement die Invaliditätsschätzung der Invalidenversicherung grundsätzlich für verbindlich und Art. 17 Abs. 1 ATSG für sinngemäss anwendbar erklärt, kann es einer Vorsorgeeinrichtung nicht verwehrt werden, auch während eines laufenden noch nicht rechtskräftig abgeschlossenen invalidenversicherungsrechtlichen Revisionsverfahrens ihre Invalidenleistungen autonom anzupassen oder einzustellen, wenn sie den tatsächlichen oder rechtlichen Verhältnissen objektiv nicht oder nicht mehr entsprechen ( BGE 138 V 409 E. 3.2 S. 415). Ebenfalls müssen Leistungen eingestellt werden können, wenn aus spezifisch berufsvorsorgerechtlichen, nicht not-wendigerweise auch für den IV-Rentenanspruch relevanten Gründen grundsätzlich kein Anspruch mehr besteht (Urteil 9C_604/2014 vom 31. März 2015 E. 3.2 und 3.3). Entgegen der offenbaren Auffassung der Beschwerdeführerin ist indessen eine Verfügung, die eine Invalidenrente herabsetzt oder aufhebt, wenn sie angefochten wird, für sich allein genommen kein Grund für eine solche autonome Anpassung oder Einstellung der Invalidenleistungen der beruflichen Vorsorge.</w:t>
      </w:r>
    </w:p>
    <w:p>
      <w:r>
        <w:rPr>
          <w:b/>
        </w:rPr>
        <w:t>E. 2.2</w:t>
      </w:r>
    </w:p>
    <w:p>
      <w:r>
        <w:t>Wie die Vorinstanz sodann richtig erkannt hat, ist eine im Sinne von Art. 17 Abs. 1 ATSG relevante Änderung des invalidenversiche-rungsrechtlichen Status bzw. der Invaliditätsbemessungsmethode für die laufende Invalidenrente der beruflichen Vorsorge nicht von Bedeutung, d.h. stellt keinen berufsvorsorgerechtlichen Anpassungsgrund dar ( BGE 141 V 127 E. 5.3.1 S. 134). Insoweit ist der neu nach der ge-mischten Methode ( Art. 28a Abs. 3 IVG ; BGE 137 V 334 E. 3.1.3 und 3.2 S. 338) ermittelte Invaliditätsgrad von 40 % (0,6 x 44,66 % + 0,4 x 32 %), welcher der (angefochtenen) Herabsetzung der Dreiviertels-rente auf eine Viertelsrente ab 1. Juni 2009 zugrunde lag (Sachverhalt A.b), unbeachtlich, ebenso der erwerbsbezogene (44,66 %).</w:t>
      </w:r>
    </w:p>
    <w:p>
      <w:r>
        <w:rPr>
          <w:b/>
        </w:rPr>
        <w:t>E. 2.3</w:t>
      </w:r>
    </w:p>
    <w:p>
      <w:r>
        <w:t>Weiter hat das kantonale Berufsvorsorgegericht erwogen, (auch) der Umstand, dass das Valideneinkommen neu auf tabellarischer Grundlage (vgl. BGE 124 V 321 ) ermittelt worden sei, stelle keinen Grund für eine Anpassung der Invalidenleistungen der beruflichen Vorsorge dar, da die Kündigung des Arbeitsverhältnisses durch den Arbeitgeber auf Ende Februar bzw. Ende November 2008 aus gesundheitlichen Gründen erfolgt sei.</w:t>
      </w:r>
    </w:p>
    <w:p>
      <w:r>
        <w:t>Die Beschwerdeführerin weist richtig darauf hin, dass die Vorinstanz als kantonales Versicherungsgericht nach Art. 57 ATSG in E. 4.3 ihres Rückweisungsentscheides vom 23. September 2010 im IV-Revisionsverfahren festhielt, die Kündigung bei der bisherigen Arbeitgeberin sei aus invaliditätsfremden (organisatorischen) Gründen erfolgt. Daran bzw. an die daraus gezogenen rechtlichen Folgerungen war sie bei erneuter Befassung mit der Sache (im IV-Revisionsverfahren) grundsätzlich gebunden, nicht jedoch das Bundesgericht (Urteil 9C_58/2012 vom 8. Juni 2012 E. 4.2 mit Hinweis, in: SVR 2012 EL Nr. 17 S. 55, nicht publ. in: BGE 138 V 298 ). Keine Bindung - an das im IV-Revisionsverfahren hinsichtlich des Kündigungsgrundes Gesagte - besteht dagegen im berufsvorsorgerechtlichen Leistungsstreit. Von einer unzulässigen Neubeurteilung der Umstände der Auflösung des Arbeitsverhältnisses kann nicht gesprochen werden. Die diesbezüglichen Feststellungen der Vorinstanz werden nicht substanziiert bestritten, womit es sein Bewenden hat (Art. 42 Abs. 2, Art. 97 Abs. 1 und Art. 106 Abs. 2 BGG ). Weiterungen erübrigen sich.</w:t>
      </w:r>
    </w:p>
    <w:p>
      <w:r>
        <w:rPr>
          <w:b/>
        </w:rPr>
        <w:t>E. 2.4</w:t>
      </w:r>
    </w:p>
    <w:p>
      <w:r>
        <w:t>Nach dem Gesagten verletzt es kein Bundesrecht, dass die Vorinstanz die von der Beschwerdeführerin zu erbringenden Invalidenleistungen der beruflichen Versorge ab 1. Juni 2009 auf der Grundlage eines Invaliditätsgrades von 60 % ermittelt hat. Die Festsetzung der Höhe der Leistungen ist nicht angefochten. Es besteht kein Anlass für eine nähere Prüfung.</w:t>
      </w:r>
    </w:p>
    <w:p>
      <w:r>
        <w:rPr>
          <w:b/>
        </w:rPr>
        <w:t>E. 3</w:t>
      </w:r>
    </w:p>
    <w:p>
      <w:r>
        <w:t>Schliesslich bestreitet die Beschwerdeführerin die Höhe der Parteientschädigung für das kantonale Verfahren. Ihre Vorbringen genügen indessen den insoweit geltenden qualifizierten Anforderungen an die Rüge- und Begründungspflicht nicht ( Art. 73 Abs. 2 BVG ; Art. 106   Abs. 2 BGG; Urteil 9C_346/2012 vom 31. Mai 2012 E. 1 mit Hinweisen).</w:t>
      </w:r>
    </w:p>
    <w:p>
      <w:r>
        <w:rPr>
          <w:b/>
        </w:rPr>
        <w:t>E. 4</w:t>
      </w:r>
    </w:p>
    <w:p>
      <w:r>
        <w:t>Ausgangsgemäss hat die Beschwerdeführerin die Gerichtskosten zu tragen ( Art. 66 Abs. 1 BGG ) und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