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9C_869/2010 vom 16. November 2011</w:t>
      </w:r>
    </w:p>
    <w:p>
      <w:r>
        <w:t>Bundesgericht, 2011-11-16, FR</w:t>
      </w:r>
    </w:p>
    <w:p>
      <w:r>
        <w:rPr>
          <w:b/>
        </w:rPr>
        <w:t xml:space="preserve">Quelle: </w:t>
      </w:r>
      <w:r>
        <w:t>https://mcp.opencaselaw.ch/entscheid/bger_9C_869_2010</w:t>
      </w:r>
    </w:p>
    <w:p>
      <w:r>
        <w:t>FR: TF 9C_869/2010 du 16 novembre 2011</w:t>
      </w:r>
    </w:p>
    <w:p>
      <w:r>
        <w:t>IT: TF 9C_869/2010 del 16 novembre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 à une rente, singulièrement sur sa capacité résiduelle de travail entre février et septembre 2007 et sur le taux d'abattement du revenu statistique.</w:t>
      </w:r>
    </w:p>
    <w:p>
      <w:r>
        <w:rPr>
          <w:b/>
        </w:rPr>
        <w:t>E. 3.1</w:t>
      </w:r>
    </w:p>
    <w:p>
      <w:r>
        <w:t>L'office recourant reproche à la juridiction cantonale d'avoir procédé à une appréciation arbitraire des preuves en retenant une capacité de travail limitée psychiquement à 50 % du 1er février au 25 septembre 2007. Il soutient que l'avis exprimé en audience par le docteur O.________ - qui a indiqué ne pas diverger significativement des 30 % d'incapacité retenus par le SMR (procès-verbal d'enquête du 11 février 2010) - ne saurait remettre en cause les conclusions concordantes des docteurs R.________ et V.________ ainsi que G.________.</w:t>
      </w:r>
    </w:p>
    <w:p>
      <w:r>
        <w:rPr>
          <w:b/>
        </w:rPr>
        <w:t>E. 3.2</w:t>
      </w:r>
    </w:p>
    <w:p>
      <w:r>
        <w:t>Ce grief qui fait implicitement référence à l' art. 9 Cst. est de nature juridique et, dès lors qu'il porte sur la violation d'un droit fondamental, doit remplir les conditions d'allégation et de motivation plus restrictives de l' art. 106 al. 2 LTF (cf. ATF 134 II 192 consid. 1.5 p. 196 sv.; 133 III 393 consid. 6 p. 397; 130 I 258 consid. 1.3 p. 261).</w:t>
      </w:r>
    </w:p>
    <w:p>
      <w:r>
        <w:rPr>
          <w:b/>
        </w:rPr>
        <w:t>E. 3.3</w:t>
      </w:r>
    </w:p>
    <w:p>
      <w:r>
        <w:t>Une décision est arbitraire au sens de l' art. 9 Cst. lorsqu'elle viole gravement une règle ou un principe juridique clair et indiscuté ou contredit d'une manière choquante le sentiment de la justice ou de l'équité. Le Tribunal fédéral n'invalide une telle décision que si celle-ci est insoutenable, en contradiction évidente avec la situation de fait, adoptée sans raison objective ou en violation d'un droit certain. La décision doit également être arbitraire dans son résultat. Il ne suffit pas qu'une solution différente de celle retenue par l'autorité cantonale puisse être tenue pour également concevable ou apparaisse même préférable (cf. notamment ATF 137 I 1 consid. 2.4 p. 5; 136 III 552 consid. 4.2 p. 560; 135 V 2 consid. 1.3 p. 4 s.; 131 I 57 consid. 2 p. 61 et les références).</w:t>
      </w:r>
    </w:p>
    <w:p>
      <w:r>
        <w:rPr>
          <w:b/>
        </w:rPr>
        <w:t>E. 3.4</w:t>
      </w:r>
    </w:p>
    <w:p>
      <w:r>
        <w:t>A supposer que l'argumentation de l'administration soit en l'occurrence suffisamment motivée (cf. consid. 3.2), elle n'est de toute façon pas fondée. Contrairement à ce qu'affirme l'office recourant, il apparaît effectivement que le docteur O.________ ne s'est pas contenté de soutenir qu'il ne se distanciait pas de manière significative des conclusions des docteurs R.________ et V.________. Il a concrètement indiqué que l'incapacité de travail avait évolué de 50 % (au début de la prise en charge de l'assuré en septembre 2005) à 35 % (en juillet 2009). Il a précisé que cette évolution, qu'il qualifiait substantiellement d'amélioration notable, s'expliquait notamment par l'attente de l'intervention chirurgicale pratiquée au mois de septembre 2007 (patient extrêmement algique et anxieux les huit mois précédant l'opération) et le résultat favorable de celle-ci. Ces éléments ont été expressément constatés dans le jugement cantonal.</w:t>
      </w:r>
    </w:p>
    <w:p>
      <w:r>
        <w:t>Dans ces circonstances, on ne peut reprocher aux premiers juges d'avoir fait preuve d'arbitraire (cf. consid. 3.3) lorsqu'il ont retenu une capacité de travail de 50 % entre janvier et septembre 2007.</w:t>
      </w:r>
    </w:p>
    <w:p>
      <w:r>
        <w:rPr>
          <w:b/>
        </w:rPr>
        <w:t>E. 4.1</w:t>
      </w:r>
    </w:p>
    <w:p>
      <w:r>
        <w:t>L'administration reproche également à la juridiction cantonale d'avoir violé le droit fédéral en concédant un abattement de 20 % - au lieu des 10 % retenus dans la décision litigieuse - sur le salaire statistique.</w:t>
      </w:r>
    </w:p>
    <w:p>
      <w:r>
        <w:rPr>
          <w:b/>
        </w:rPr>
        <w:t>E. 4.2</w:t>
      </w:r>
    </w:p>
    <w:p>
      <w:r>
        <w:t>Le Tribunal fédéral a récemment rappelé, dans l' ATF 137 V 71 , les principes régissant l'étendue du pouvoir d'examen du Tribunal fédéral (consid. 5.1) et des tribunaux cantonaux des assurances (consid. 5.2) lorsqu'il s'agit de vérifier, en matière d'assurance-invalidité, l'étendue de l'abattement effectué sur le revenu d'invalide résultant des données statistiques conformément à l' ATF 126 V 75 . Il suffit donc d'y renvoyer.</w:t>
      </w:r>
    </w:p>
    <w:p>
      <w:r>
        <w:rPr>
          <w:b/>
        </w:rPr>
        <w:t>E. 4.3</w:t>
      </w:r>
    </w:p>
    <w:p>
      <w:r>
        <w:t>En l'espèce, l'office AI a fixé le taux de réduction du revenu d'invalide à 10 %. Il ressort de la décision du 23 décembre 2005 ainsi que de la décision sur opposition du 5 octobre 2007 que ce taux est principalement fonction de la nationalité de l'intimé (suisse), de son âge (relativement jeune), du nombre d'années de service auprès du dernier employeur (vingt-deux ans) et du taux d'occupation (activité partielle), les limitations fonctionnelles étant prises en compte par le degré d'incapacité de travail de 70 %. Les premiers juges ont estimé que ce taux était insuffisant dans la mesure où il ne tenait pas compte de toutes les circonstances notamment du fait que l'assuré avait été écarté du marché du travail pendant de nombreuses années en raison d'une erreur de l'administration, ce qui justifiait de retenir un abattement de 20 %.</w:t>
      </w:r>
    </w:p>
    <w:p>
      <w:r>
        <w:t>Dès lors qu'elle s'est référée à un élément qui n'entre pas dans les circonstances justifiant la réduction du salaire ressortant des statistiques (limitations liées au handicap, âge, années de service, nationalité/catégorie d'autorisation de séjour, taux d'occupation; cf. ATF 126 V 75 ), la juridiction cantonale a abusé de son pouvoir d'appréciation (cf. ATF 137 V 71 consid. 5.1 p. 72 s.). On ajoutera qu'on ne saurait considérer les quatre ans d'éloignement du marché du travail (entre octobre 2001 [date de la naissance du droit à la rente] et décembre 2005 [date de la décision de reconsidération]) comme de nombreuses années et que, s'il est vrai que le secteur informatique évolue rapidement, l'office AI a tenu compte de ce fait en prenant comme référence le salaire statistique correspondant à l'exécution de tâches simples et répétitives dans ce secteur et qu'il a octroyé à l'assuré la possibilité de bénéficier d'une aide au placement ainsi que d'un stage de mise au courant. Il convient dès lors d'annuler le jugement attaqué sur ce point et de renvoyer la cause aux premiers juges pour qu'ils corrigent l'évaluation de l'invalidité conformément à ce qui précède.</w:t>
      </w:r>
    </w:p>
    <w:p>
      <w:r>
        <w:rPr>
          <w:b/>
        </w:rPr>
        <w:t>E. 5</w:t>
      </w:r>
    </w:p>
    <w:p>
      <w:r>
        <w:t>Vu l'issue du litige, les frais judiciaires sont répartis par moitié entre la l'office recourant et l'intimé ( art. 66 al. 1 LTF ). Le second a droit à une indemnité de dépens réduite à charge du premier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