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9C_868/2009 vom 22. April 2010</w:t>
      </w:r>
    </w:p>
    <w:p>
      <w:r>
        <w:t>Bundesgericht, 2010-04-22, FR</w:t>
      </w:r>
    </w:p>
    <w:p>
      <w:r>
        <w:rPr>
          <w:b/>
        </w:rPr>
        <w:t xml:space="preserve">Quelle: </w:t>
      </w:r>
      <w:r>
        <w:t>https://mcp.opencaselaw.ch/entscheid/bger_9C_868_2009</w:t>
      </w:r>
    </w:p>
    <w:p>
      <w:r>
        <w:t>FR: TF 9C_868/2009 du 22 avril 2010</w:t>
      </w:r>
    </w:p>
    <w:p>
      <w:r>
        <w:t>IT: TF 9C_868/2009 del 22 aprile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Le recourant conteste la détermination du revenu sans invalidité.</w:t>
      </w:r>
    </w:p>
    <w:p>
      <w:r>
        <w:rPr>
          <w:b/>
        </w:rPr>
        <w:t>E. 2.1</w:t>
      </w:r>
    </w:p>
    <w:p>
      <w:r>
        <w:t>Il soutient en substance que la juridiction cantonale a violé le droit fédéral en se fondant sur les données statistiques de l'Enquête suisse sur la structure des salaires ou la moyenne des salaires annuels réalisés durant les cinq ans qu'a duré son dernier contrat de travail. Il estime qu'elle aurait dû se référer à une extrapolation de son salaire 2002 (96'563 [salaire attesté par l'employeur] - 46'584 [indemnités journalières de l'assurance-accidents] : 5 x 12 = 119'949) pour 2003 (119'949 x 1,4 [indice des salaires pour l'année 2003]) soit 121'628 fr., ce qui une fois comparé au revenu d'invalide non contesté de 52'025 fr. donnerait un taux d'invalidité de 57 % et lui ouvrirait droit à une demi-rente.</w:t>
      </w:r>
    </w:p>
    <w:p>
      <w:r>
        <w:rPr>
          <w:b/>
        </w:rPr>
        <w:t>E. 2.2</w:t>
      </w:r>
    </w:p>
    <w:p>
      <w:r>
        <w:t>On relèvera préalablement que, contrairement à ce qu'affirme l'assuré, les premiers juges n'ont pas véritablement fixé son degré d'invalidité, mais qu'ils se sont concrètement contentés de constater que, vu les difficultés à déterminer le dernier salaire devant servir de référence eu égard au caractère aléatoire des heures supplémentaires dont l'accomplissement chaque année depuis la signature du contrat de travail semblait admis, l'application de l'une ou l'autre des méthodes mentionnées ne modifiait pas le résultat auquel l'office intimé était parvenu.</w:t>
      </w:r>
    </w:p>
    <w:p>
      <w:r>
        <w:rPr>
          <w:b/>
        </w:rPr>
        <w:t>E. 2.3</w:t>
      </w:r>
    </w:p>
    <w:p>
      <w:r>
        <w:t>Conformément à la jurisprudence correctement citée par les deux parties, à laquelle il suffit dès lors de renvoyer, le revenu sans invalidité s'évalue le plus concrètement possible, soit généralement d'après le dernier salaire perçu avant la survenance de l'atteinte à la santé. Il est toutefois possible de s'en écarter lorsqu'on ne peut le déterminer sûrement, notamment lorsqu'il est soumis à des fluctuations importantes; il faut alors procéder à une moyenne des gains réalisés sur une période relativement longue (arrêt I 504/99 consid. 5a et la références).</w:t>
      </w:r>
    </w:p>
    <w:p>
      <w:r>
        <w:rPr>
          <w:b/>
        </w:rPr>
        <w:t>E. 2.4</w:t>
      </w:r>
    </w:p>
    <w:p>
      <w:r>
        <w:t>En l'occurrence, les informations économiques figurant au dossier (compte individuel, contrat de travail, questionnaire pour l'employeur, certificats annuels de salaire, bulletins mensuels de salaire, déclarations d'impôt, décisions de taxation, etc.) sont suffisantes pour évaluer concrètement le revenu sans invalidité. L'utilisation de données statistiques serait donc contraire au droit fédéral. L'existence d'heures supplémentaires rend toutefois cette évaluation plus délicate. A cet égard, on relèvera que la juridiction cantonale ne semble pas contredire l'assuré lorsqu'il prétend en avoir effectué depuis le début de sondernier engagement. Cette assertion trouve d'ailleurs confirmation dans la différence entre le salaire prévu dans le contrat de travail ou le questionnaire pour l'employeur et les salaires AVS tels qu'ils ressortent de l'extrait du compte individuel du recourant ainsi que partiellement dans les différents relevés de pointage horaire produits. Si on peut inférer de ce qui précède que l'assuré a effectivement rendu vraisemblable l'accomplissement régulier depuis son engagement d'heures supplémentaires, qu'il convient dès lors de prendre en considération pour avoir une image la plus concrète possible de sa situation économique (voir aussi arrêt I 357/01 consid. 3b in VSI 2002 p. 159), on peut également constater que le salaire AVS a subi chaque année d'importantes fluctuations, alors que le salaire contractuel n'augmentait que légèrement. Cet élément démontre le caractère aléatoire du nombre d'heures supplémentaires accomplies par le recourant. Même si ce nombre paraît avoir crû chaque année, il reste néanmoins lié à la quantité de travail disponible et aucun argument, ni pièce probante n'est susceptible d'en attester la pérennité, pas plus que la progression ou la régression; la réalisation croissante d'heures supplémentaires par l'assuré en raison de compétences particulières ne trouve pas de fondements dans le dossier contrairement à ce que celui allègue. Il se justifiait donc dans ces circonstances de procéder à une moyenne des salaires sur la période courant de 1997 à 2001, comme l'ont fait les premiers juges, et non de prendre en référence les données de l'année 2002, incomplètes dans la mesure où l'accident à l'origine de l'incapacité de travail qui dure encore est survenu durant le mois de mai, et d'en déduire un salaire annuel dont les bases de calcul, notamment le salaire versé entre les mois de janvier et mai (49'979 fr.), ne correspondent pas à celles de l'employeur (37'095 fr. 25), contrairement à ce que soutient le recourant. Ce procédé permet effectivement de pondérer les facteurs variables de la rétribution dans le temps et reflète ainsi davantage la situation économique concrète de l'assuré. Le raisonnement de la juridiction cantonale sur ce point ne viole par conséquent pas le droit fédéral et, tout autre élément n'étant pas contesté ou contestable (cf. consid. 3 infra), il convient de conclure que le résultat de la comparaison des revenus effectuée ne donne pas droit à une rente.</w:t>
      </w:r>
    </w:p>
    <w:p>
      <w:r>
        <w:rPr>
          <w:b/>
        </w:rPr>
        <w:t>E. 3</w:t>
      </w:r>
    </w:p>
    <w:p>
      <w:r>
        <w:t>Le recourant conteste aussi le taux d'abattement du revenu d'invalide.</w:t>
      </w:r>
    </w:p>
    <w:p>
      <w:r>
        <w:rPr>
          <w:b/>
        </w:rPr>
        <w:t>E. 3.1</w:t>
      </w:r>
    </w:p>
    <w:p>
      <w:r>
        <w:t>Il soutient fondamentalement que les premiers juges ont procédé à une appréciation arbitraire des faits dans la mesure où ils n'ont pas tenu compte de son âge, de ses problèmes linguistiques, de ses nombreuses limitations fonctionnelles et du fait qu'il ne possédait une solide compétence que dans le domaine de la soudure.</w:t>
      </w:r>
    </w:p>
    <w:p>
      <w:r>
        <w:rPr>
          <w:b/>
        </w:rPr>
        <w:t>E. 3.2</w:t>
      </w:r>
    </w:p>
    <w:p>
      <w:r>
        <w:t>L'étendue de l'abattement se justifiant dans un cas concret constitue une question relevant du pouvoir d'appréciation qui n'est soumise à l'examen du juge de dernière instance que si la juridiction cantonale a exercé celui-ci de manière contraire au droit, soit uniquement si elle a commis un excès positif ou négatif de son pouvoir d'appréciation ou a abusé de celui-ci (cf. ATF 132 V 393 consid. 3.3 p. 399), notamment en retenant des critères inappropriés, en ne prenant pas en compte des circonstances pertinentes, en ne procédant pas à un examen complet des circonstances pertinentes ou en n'usant pas de critères objectifs (cf. ATF 130 III 176 consid. 1.2 p. 180).</w:t>
      </w:r>
    </w:p>
    <w:p>
      <w:r>
        <w:rPr>
          <w:b/>
        </w:rPr>
        <w:t>E. 3.3</w:t>
      </w:r>
    </w:p>
    <w:p>
      <w:r>
        <w:t>Outre le fait que la seule invocation de critères pouvant justifier la réduction du revenu d'invalide ne démontre aucunement en quoi ceux-ci sont remplis eu égard au devoir d'allégation et de motivation (cf. art. 42 al. 2 LTF ), on relèvera que les premiers juges se sont déjà prononcés de manière pertinente sur certains de ces critères, notamment celui de l'âge (43 ans au moment de l'éventuelle naissance du droit à la rente). On ajoutera qu'il n'a jamais été fait mention auparavant de difficultés linguistiques qui auraient limité l'assuré dans son emploi habituel, auraient entravé la constitution du dossier administratif et médical ou qui l'empêcheraient de reprendre une activité adaptée, qu'il a été tenu compte de la seule limitation fonctionnelle existante (prohibition du port de charges supérieures à 15 kg) par la baisse de rendement reconnue par les experts médicaux et que la constatation d'une solide expérience dans un domaine particulier n'exclut en rien la mise en valeur de cette expérience dans d'autres domaines. L'argumentation du recourant ne met donc en évidence aucune constatation manifestement inexacte des faits ou appréciation arbitraire de ceux-ci sur ce point, de sorte qu'il ne se justifie pas de retenir un abattement du revenu d'invalide.</w:t>
      </w:r>
    </w:p>
    <w:p>
      <w:r>
        <w:rPr>
          <w:b/>
        </w:rPr>
        <w:t>E. 4</w:t>
      </w:r>
    </w:p>
    <w:p>
      <w:r>
        <w:t>Vu l'issue du litige, les frais judiciaires sont mis à la charge de l'assuré ( art. 66 al. 1 LTF ). Il ne saurait en outre prétendre une indemnité de dépens pour l'instance fédérale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