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9C_868/2008 vom 24. Juli 2009</w:t>
      </w:r>
    </w:p>
    <w:p>
      <w:r>
        <w:t>Bundesgericht, 2009-07-24, DE</w:t>
      </w:r>
    </w:p>
    <w:p>
      <w:r>
        <w:rPr>
          <w:b/>
        </w:rPr>
        <w:t xml:space="preserve">Quelle: </w:t>
      </w:r>
      <w:r>
        <w:t>https://mcp.opencaselaw.ch/entscheid/bger_9C_868_2008</w:t>
      </w:r>
    </w:p>
    <w:p>
      <w:r>
        <w:t>FR: TF 9C_868/2008 du 24 juillet 2009</w:t>
      </w:r>
    </w:p>
    <w:p>
      <w:r>
        <w:t>IT: TF 9C_868/2008 del 24 luglio 2009</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Streitig ist der Anspruch der Beschwerdeführerin auf eine Invalidenrente der beruflichen Vorsorge. Dabei steht in Frage, ob bei ihr während des Arbeitsverhältnisses mit der Familie F.________ bis 31. Mai 2003 oder innerhalb der einmonatigen Nachdeckungsfrist eine relevante Arbeitsunfähigkeit eingetreten ist.</w:t>
      </w:r>
    </w:p>
    <w:p>
      <w:r>
        <w:rPr>
          <w:b/>
        </w:rPr>
        <w:t>E. 2.2</w:t>
      </w:r>
    </w:p>
    <w:p>
      <w:r>
        <w:t>Im angefochtenen Entscheid werden die gesetzlichen Bestimmungen und Grundsätze zu Beginn und Ende der Versicherungspflicht ( Art. 10 Abs. 1 und 2 lit. b BVG ), zur Nachdeckungsfrist ( Art. 10 Abs. 3 BVG ) und zum Anspruch auf Invalidenleistungen der beruflichen Vorsorge ( Art. 23 BVG in der Fassung geltend bis 31. Dezember 2004) zutreffend dargelegt. Ebenfalls richtig festgehalten hat das kantonale Gericht, dass die Versicherteneigenschaft als Leistungsvoraussetzung nicht erst im Zeitpunkt des Eintritts der Invalidität, sondern bereits beim Auftreten der für die Entstehung der Invalidität relevanten Arbeitsunfähigkeit im Sinne einer Einbusse an funktionellem Leistungsvermögen im bisherigen Beruf gegeben sein muss ( BGE 130 V 97 E. 3.3 S. 101) und dabei im Falle, da eine Person trotz Lohnzahlung tatsächlich erheblich arbeitsunfähig ist, arbeitsrechtlich in Erscheinung zu treten hat, dass die Versicherte Leistungsvermögen eingebüsst hat, so etwa durch einen Abfall der Leistungen mit entsprechender Feststellung oder gar Ermahnung des Arbeitgebers oder durch gehäufte, aus dem Rahmen fallende gesundheitlich bedingte Arbeitsausfälle, wobei eine erst nach Jahren rückwirkend festgelegte medizinisch-theoretische Arbeitsunfähigkeit allein nicht genügt ( BGE 134 V 20 E. 5.3 S. 27). Darauf wird verwiesen.</w:t>
      </w:r>
    </w:p>
    <w:p>
      <w:r>
        <w:rPr>
          <w:b/>
        </w:rPr>
        <w:t>E. 2.3</w:t>
      </w:r>
    </w:p>
    <w:p>
      <w:r>
        <w:t>Die IV-Stelle hatte der Versicherten ab 1. Juni 2004 eine ganze Invalidenrente gestützt auf einen Invaliditätsgrad von 89 % zugesprochen und ging damit vom spätesten Beginn der Wartezeit im Juni 2003 aus. Während die Beschwerdegegnerin noch vor Vorinstanz die Auffassung vertreten hatte, die massgebliche Arbeitsunfähigkeit der Beschwerdeführerin sei noch vor dem Anstellungsverhältnis bei der Familie F.________ eingetreten, stellt sie sich nunmehr auf den Standpunkt, für die Anstellungsdauer bei der Familie F.________ sei keine Arbeitsunfähigkeit in den Akten vermerkt und auch nach Beendigung dieses Arbeitsverhältnisses eine Einschränkung in der Leistungsfähigkeit nicht ausgewiesen, weshalb der von der IV-Stelle festgesetzte Beginn der Wartefrist auf Juni 2003 nicht nachvollziehbar sei. Demgegenüber macht die Beschwerdeführerin nunmehr geltend, eine Leistungspflicht der Beschwerdegegnerin bestehe auf Grund der Vorleistungspflicht gemäss Art. 26 Abs. 4 BVG .</w:t>
      </w:r>
    </w:p>
    <w:p>
      <w:r>
        <w:rPr>
          <w:b/>
        </w:rPr>
        <w:t>E. 2.4</w:t>
      </w:r>
    </w:p>
    <w:p>
      <w:r>
        <w:t>Richtig ist zunächst, dass die Beschwerdegegnerin nicht an die in der Verfügung der IV-Stelle enthaltene Feststellung einer Arbeitsunfähigkeit ab Juni 2003 gebunden war, nachdem ihr diese nicht ordnungsgemäss eröffnet wurde, und deshalb die Frage des Eintritts einer funktionellen Leistungseinbusse während des Arbeitsverhältnisses bei der Familie F.________ unabhängig von der Invalidenversicherung zu prüfen ist.</w:t>
      </w:r>
    </w:p>
    <w:p>
      <w:r>
        <w:rPr>
          <w:b/>
        </w:rPr>
        <w:t>E. 2.5</w:t>
      </w:r>
    </w:p>
    <w:p>
      <w:r>
        <w:t>Dazu hat das kantonale Gericht mit einlässlicher Begründung zutreffend erwogen, dass die nach Jahren rückwirkend festgelegte medizinisch-theoretische Arbeitsunfähigkeit durch Dr. med. P._______ in seinem Bericht vom 30. Dezember 2004 für den echtzeitlichen Nachweis einer erheblichen Arbeitsunfähigkeit nicht genügt, nachdem die Beschwerdeführerin bei Familie F.________ den vollen Lohn bezog und auch aus dem Arbeitszeugnis eine Einbusse an Leistungsvermögen nicht hervorgeht. Sie führt richtig aus, dass die Beschwerdeführerin aktenkundig ab Juni 2003 bis zumindest Juli 2004 bei intakter Vermittlungsfähigkeit Arbeitslosentaggelder bezog und gemäss Arbeitszeugnis der Betriebsleiterin des Projekts A.________ (Programm zur vorübergehenden Beschäftigung), bei welchem sie vom 8. September 2003 bis 7. März 2004 zu 100 % tätig war, als sehr gute und kooperative Mitarbeiterin bezeichnet wurde, die es verstehe zuzupacken und stets Freude an der Arbeit habe, weshalb nicht mit überwiegender Wahrscheinlichkeit davon auszugehen ist, dass die Beschwerdeführerin während der Nachdeckungsfrist in ihrem funktionellen Leistungsvermögen in erheblichem Masse eingeschränkt war. Entsprechend hat die Beschwerdegegnerin einen Rentenanspruch zu Recht abgelehnt.</w:t>
      </w:r>
    </w:p>
    <w:p>
      <w:r>
        <w:rPr>
          <w:b/>
        </w:rPr>
        <w:t>E. 2.6</w:t>
      </w:r>
    </w:p>
    <w:p>
      <w:r>
        <w:t>Die dagegen von der Beschwerdeführerin erhobenen Vorbringen erschöpfen sich neben dem Verweis auf Art. 26 Abs. 4 BVG (in Kraft seit 1. Januar 2005) in Ausführungen zur Bindungswirkung des IV-Entscheides mit der Schlussfolgerung, der angefochtene Entscheid halte diesbezüglich im Ergebnis stand. Die Beschwerdeführerin setzt sich mit den Erwägungen der Vorinstanz nicht auseinander und legt in keiner Weise dar, inwiefern die entscheidwesentlichen Sachverhaltsfeststellungen der Vorinstanz offensichtlich unrichtig sind oder auf einer Rechtsverletzung im Sinne von Art. 95 beruhen. Die Beschwerdebegründung erfüllt daher die Rügeerfordernisse gemäss Art. 97 Abs. 1 BGG nicht, weshalb darauf nicht weiter einzugehen ist. Der Verweis auf Art. 26 Abs. 4 BVG ist schon deshalb unbehelflich, weil diese Bestimmung im massgebenden Zeitraum (Juni 2003) noch nicht in Kraft stand, sodass auf die Voraussetzungen für dessen Anwendbarkeit nicht weiter einzugehen ist.</w:t>
      </w:r>
    </w:p>
    <w:p>
      <w:r>
        <w:rPr>
          <w:b/>
        </w:rPr>
        <w:t>E. 3</w:t>
      </w:r>
    </w:p>
    <w:p>
      <w:r>
        <w:t>Die unterliegende Beschwerdeführerin trägt grundsätzlich die Kosten ( Art. 66 Abs. 1 BGG ). Dem Gesuch um Erlass der Gerichtskosten ist stattzugeben, da der Prozess nicht aussichtslos erscheint und die Partei bedürftig ist ( Art. 64 BGG ; vgl. BGE 125 V 201 E. 4a S. 202 und 371 E. 5b S. 372). Es wird indes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