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9C_864/2013 vom 9. Juli 2014</w:t>
      </w:r>
    </w:p>
    <w:p>
      <w:r>
        <w:t>Bundesgericht, 2014-07-09, DE</w:t>
      </w:r>
    </w:p>
    <w:p>
      <w:r>
        <w:rPr>
          <w:b/>
        </w:rPr>
        <w:t xml:space="preserve">Quelle: </w:t>
      </w:r>
      <w:r>
        <w:t>https://mcp.opencaselaw.ch/entscheid/bger_9C_864_2013</w:t>
      </w:r>
    </w:p>
    <w:p>
      <w:r>
        <w:t>FR: TF 9C_864/2013 du 9 juillet 2014</w:t>
      </w:r>
    </w:p>
    <w:p>
      <w:r>
        <w:t>IT: TF 9C_864/2013 del 9 luglio 2014</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Offensichtlich unrichtig ist eine Sachverhaltsfeststellung nicht schon dann, wenn sich Zweifel anmelden, sondern erst, wenn sie eindeutig und augenfällig unzutreffend, mithin willkürlich ist. Dies trifft etwa dann zu,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(z.B. in BGE 139 III 49 nicht publ. E. 2.1 des Urteils 4A_13/2012 vom 19. November 2012).</w:t>
      </w:r>
    </w:p>
    <w:p>
      <w:r>
        <w:rPr>
          <w:b/>
        </w:rPr>
        <w:t>E. 2</w:t>
      </w:r>
    </w:p>
    <w:p>
      <w:r>
        <w:t>Streitig und zu prüfen ist nurmehr, ob die Vorinstanz zu Unrecht einen Anspruch der Beschwerdeführerin auf eine Viertelsrente ab 1. Januar 2007 verneinte. Dabei sind die vorinstanzlichen Feststellungen zur Arbeitsfähigkeit der versicherten Person letztinstanzlich grundsätzlich   bindend. Dies gilt insbesondere für die aufgrund medizinischer Untersuchungen gerichtlich festgestellte Arbeitsunfähigkeit (vorangehende E. 1.1; BGE 132 V 393 E. 3.2 S. 397 ff.).</w:t>
      </w:r>
    </w:p>
    <w:p>
      <w:r>
        <w:rPr>
          <w:b/>
        </w:rPr>
        <w:t>E. 3.1</w:t>
      </w:r>
    </w:p>
    <w:p>
      <w:r>
        <w:t>Umstritten ist zunächst die prozentuale Einschränkung der Arbeitsfähigkeit. Fest steht, dass die Gutachter (aus somatischer Sicht) eine Einschränkung von 2,5 Stunden pro Tag attestierten. Das kantonale Gericht ging von der statistischen betriebsüblichen Wochenarbeitszeit aus und ermittelte basierend auf einer Wochenarbeitszeit von 41,6 Stunden im Jahr 2006 (wobei die angeführte Publikation "Die Volkswirtschaft" 1/2-2010 Tabelle B9.2 S. 94 eine solche von 41,7 Stunden ausweist) eine Einschränkung von gerundet 28 %. Die Beschwerdeführerin macht geltend, es sei auf den Gesamtarbeitsvertrag für das Schreinergewerbe abzustellen, welcher eine jahresdurchschnittliche Wochenarbeitszeit von 41,5 Stunden vorsehe. Die Arbeitgeberin ihrerseits gab an, die Arbeitszeit der Versicherten würde bei einem Vollzeitpensum 42 Stunden pro Woche betragen (Arbeitgeberbericht vom 6. November 2006). Die geringe Abweichung zwischen der vorinstanzlich festgestellten und der beschwerdeweise geltend gemachten Arbeitszeit für ein Vollzeitpensum schliesst eine offensichtliche Unrichtigkeit der vorinstanzlichen Feststellung aus. Die Differenz von 0,1 Stunden pro Woche (oder          1,2 Minuten pro Tag) ist von untergeordneter Bedeutung.</w:t>
      </w:r>
    </w:p>
    <w:p>
      <w:r>
        <w:rPr>
          <w:b/>
        </w:rPr>
        <w:t>E. 3.2</w:t>
      </w:r>
    </w:p>
    <w:p>
      <w:r>
        <w:t>Zu Recht rügt die Beschwerdeführerin hingegen die vorinstanzliche Rundung der wöchentlichen Arbeitszeit auf ("annähernd")       8,5 Stunden. Auch wenn die auf Kommastellen genauen Invaliditätsbemessungen naturgemäss eine gewisse Scheingenauigkeit beinhalten (vgl. BGE 139 V 121 E. 3.1 S. 122), geht es besonders in Fällen, wo ein leistungsberechtigender Invaliditätsgrad grenzwertig ist, nicht an, von den anerkannten mathematischen Rundungsregeln zu Lasten der versicherten Person abzuweichen. Bei korrekter Berechnung entspricht eine Einschränkung von täglich 2,5 Stunden bei einer wöchentlichen Arbeitszeit von 41,6 Stunden bzw. einer Tagesarbeitszeit von 8,32 Stunden einer Arbeitsunfähigkeit von 30,05 %. Mit der Beschwerdeführerin ist somit die Arbeitsunfähigkeit auf 30 % festzulegen ( BGE 130 V 121 E. 3.2 S. 123).</w:t>
      </w:r>
    </w:p>
    <w:p>
      <w:r>
        <w:rPr>
          <w:b/>
        </w:rPr>
        <w:t>E. 4.1</w:t>
      </w:r>
    </w:p>
    <w:p>
      <w:r>
        <w:t>Unbestritten geblieben ist die Ermittlung des Invalideneinkommens gestützt auf die Tabellenlöhne der Schweizerischen Lohnstrukturerhebung (LSE). Zwar kamen die Gutachter am Schweize-rischen Institut für Versicherungsmedizin (nachfolgend: SIVM), in ihrer Expertise vom 26. September 2007 zum Schluss, die Tätigkeit bei der E.________ AG sei annährend ideal angepasst, da körperlich wechselbelastend, mental leicht belastend und leistungsmässig leicht fordernd. Hingegen gelangte die IV-Stelle zur Auffassung, die Versicherte sei an ihrem Arbeitsplatz nicht optimal eingegliedert, weshalb Tabellenlöhne heranzuziehen seien (Protokolleintrag vom 12. Oktober 2010). Dagegen erhebt die Beschwerdeführerin keine Einwände mehr. Auszugehen ist somit von einem Invalidenlohn von Fr. 35'110.- (70 % von Fr. 50'157.12 gemäss LSE 2006 Tabelle TA 1 S. 25, Frauen, Anforderungsniveau 4, Wochenarbeitszeit: 41,6 Stunden).</w:t>
      </w:r>
    </w:p>
    <w:p>
      <w:r>
        <w:rPr>
          <w:b/>
        </w:rPr>
        <w:t>E. 4.2</w:t>
      </w:r>
    </w:p>
    <w:p>
      <w:r>
        <w:t>Streitig ist das Valideneinkommen, welches die Vorinstanz auf Fr. 59'150.- bezifferte (13 x Fr. 4'550.-; basierend auf dem im Januar 2002 erzielten Monatslohn bei der D.________ AG von Fr. 3'750.- und unter Berücksichtigung einer jährlichen Lohnerhöhung von Fr. 200.- pro Monat). Die Beschwerdeführerin rügt, das kantonale Gericht sei diesbezüglich in Willkür verfallen. Bei einer vorinstanzlich anerkannten jährlichen Lohnerhöhung von Fr. 200.- pro Monat resultiere ausgehend von einem Monatslohn von Fr. 3'750.- im Jahr 2002 ein Valideneinkommen in Höhe von Fr. 61'750.-. Diese Rüge ist unbegründet. Im angefochtenen Entscheid wurde für die Anspruchsberechtigung ab 1. Januar 2007 auf die Zahlen für das Jahr 2006 abgestellt (vgl. E. 3.1 hievor). Die Versicherte hingegen rechnete den Validenlohn auf die mutmasslichen Verhältnisse 2007 hoch. Weil Validen- und Invalideneinkommen einander auf zeitidentischer Grundlage gegenüberzustellen sind (statt vieler: Urteil 9C_22/2014 vom 18. Februar 2014 E. 4.3), ist die vorinstanzliche Berechnung in diesem Punkt korrekt. Bei einem Valideneinkommen von Fr. 59'150.- und einem Invalidenlohn von Fr. 35'110.- resultiert ein Invaliditätsgrad von 40,6 %. Die Beschwerdeführerin hat somit ab 1. Januar 2007 Anspruch auf eine Viertelsrente.</w:t>
      </w:r>
    </w:p>
    <w:p>
      <w:r>
        <w:rPr>
          <w:b/>
        </w:rPr>
        <w:t>E. 5</w:t>
      </w:r>
    </w:p>
    <w:p>
      <w:r>
        <w:t>Dem Ausgang des Verfahrens entsprechend sind die Gerichtskosten der Beschwerdegegnerin aufzuerlegen ( Art. 66 Abs.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