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9C_864/2012 vom 8. November 2012</w:t>
      </w:r>
    </w:p>
    <w:p>
      <w:r>
        <w:t>Bundesgericht, 2012-11-08, IT</w:t>
      </w:r>
    </w:p>
    <w:p>
      <w:r>
        <w:rPr>
          <w:b/>
        </w:rPr>
        <w:t xml:space="preserve">Quelle: </w:t>
      </w:r>
      <w:r>
        <w:t>https://mcp.opencaselaw.ch/entscheid/bger_9C_864_2012</w:t>
      </w:r>
    </w:p>
    <w:p>
      <w:r>
        <w:t>FR: TF 9C_864/2012 du 8 novembre 2012</w:t>
      </w:r>
    </w:p>
    <w:p>
      <w:r>
        <w:t>IT: TF 9C_864/2012 del 8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</w:t>
      </w:r>
    </w:p>
    <w:p>
      <w:r>
        <w:t>Corte III, e all'Ufficio federale delle assicurazioni sociali.</w:t>
      </w:r>
    </w:p>
    <w:p>
      <w:r>
        <w:t>Lucerna, 8 novembre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