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862/2018 vom 10. Januar 2019</w:t>
      </w:r>
    </w:p>
    <w:p>
      <w:r>
        <w:t>Bundesgericht, 2019-01-10, DE</w:t>
      </w:r>
    </w:p>
    <w:p>
      <w:r>
        <w:rPr>
          <w:b/>
        </w:rPr>
        <w:t xml:space="preserve">Quelle: </w:t>
      </w:r>
      <w:r>
        <w:t>https://mcp.opencaselaw.ch/entscheid/bger_9C_862_2018</w:t>
      </w:r>
    </w:p>
    <w:p>
      <w:r>
        <w:t>FR: TF 9C 862/2018 du 10 janvier 2019</w:t>
      </w:r>
    </w:p>
    <w:p>
      <w:r>
        <w:t>IT: TF 9C 862/2018 del 10 gennaio 2019</w:t>
      </w:r>
    </w:p>
    <w:p>
      <w:pPr>
        <w:pStyle w:val="Heading2"/>
      </w:pPr>
      <w:r>
        <w:t>Regeste</w:t>
      </w:r>
    </w:p>
    <w:p>
      <w:r>
        <w:t>Invalidenversicherung (Kostenvorschuss; Fristversäumnis) | Invalidenversicherung</w:t>
      </w:r>
    </w:p>
    <w:p>
      <w:pPr>
        <w:pStyle w:val="Heading2"/>
      </w:pPr>
      <w:r>
        <w:t>Erwägungen</w:t>
      </w:r>
    </w:p>
    <w:p>
      <w:r>
        <w:rPr>
          <w:b/>
        </w:rPr>
        <w:t>E. 1.1</w:t>
      </w:r>
    </w:p>
    <w:p>
      <w:r>
        <w:t>Auf das Beschwerdeverfahren vor Bundesverwaltungsgericht findet das VwVG (SR 172.021) Anwendung ( Art. 37 VGG [SR 173.32]). Nach Art. 63 Abs. 4 VwVG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zweiter Satz BGG - nicht (Urteile 9C_410/2018 vom 19. Juli 2018 E. 3.2.3 und 9C_821/2016 vom 2. Februar 2017 E. 2.1). Die Frist für die Zahlung eines Vorschusses ist gewahrt, wenn der Betrag rechtzeitig zugunsten der Behörde der Schweizerischen Post übergeben oder einem Post- oder Bankkonto in der Schweiz belastet worden ist ( Art. 21 Abs. 3 VwVG ). Eine behördlich angesetzte Frist kann aus zureichenden Gründen erstreckt werden, wenn die Partei vor Ablauf der Frist darum nachsucht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1.2</w:t>
      </w:r>
    </w:p>
    <w:p>
      <w:r>
        <w:t>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(Urteil 9C_821/2016 vom 2. Februar 2017 E. 2.2 mit Hinweisen).</w:t>
      </w:r>
    </w:p>
    <w:p>
      <w:r>
        <w:rPr>
          <w:b/>
        </w:rPr>
        <w:t>E. 2.1</w:t>
      </w:r>
    </w:p>
    <w:p>
      <w:r>
        <w:t>Unter den Verfahrensbeteiligten ist unbestritten, dass der Beschwerdeführer den mit Zwischenverfügung vom 30. August 2018 bis spätestens 1. Oktober 2018 einverlangten Kostenvorschuss erst am 2. Oktober 2018 geleistet hat. Dieses Versäumnis führt zum ausdrücklich angedrohten Nichteintreten ( Art. 23 VwVG ). Wenn sich der Beschwerdeführer auf den Standpunkt stellt, die Vorschussleistung müsse innert der Rechtsmittelfrist für die diesbezügliche Zwischenverfügung (hier bis 3. Oktober 2018) stets möglich sein, kann ihm nicht gefolgt werden. Die verschiedenen fristgebundenen Vorkehren in einem Verfahren verfolgen unterschiedliche Zwecke und die dazu bestimmten Fristen müssen den jeweiligen Zwecken entsprechen. Sie müssen aber nicht notwendigerweise untereinander korrespondieren; vielmehr können sie grundsätzlich unabhängig voneinander festgesetzt werden. Bei der Fristansetzung zur Leistung des Kostenvorschusses steht dem Bundesverwaltungsgericht ein erheblicher Ermessensspielraum zu. Innerhalb dieses Spielraums kann es den Verfahrensumständen Rechnung tragen. Demgegenüber ist die Frist zur Anfechtung der Kostenvorschussverfügung gesetzlich vorbestimmt ( Art. 100 BGG ) und gerichtlicher Einflussnahme entzogen. Sie läuft unabhängig von den gerichtlichen Dispositionen. Umgekehrt existiert auch keine Verpflichtung des Gerichts, die Frist zur Leistung des Kostenvorschusses auf die gesetzliche Rechtsmittelfrist zur Anfechtung seiner Anordnung betreffend den Kostenvorschuss abzustimmen. Es kann dies tun, muss es aber nicht (Urteil 2C_703/2009 vom 21. September 2010 E. 4.3). Es besteht kein Anlass, von dieser Rechtsprechung abzuweichen. Entgegen der Auffassung des Beschwerdeführers wird in Fällen wie dem vorliegenden weder die Rechtsweggarantie noch das Verbot des überspitzten Formalismus verletzt (vgl. E. 4.4 des letztzitierten Urteils; Urteil 9C_410/2018 vom 19. Juli 2018 E. 3.2.2). Es ist schliesslich auch nicht ersichtlich, inwiefern aus BGE 128 V 199 etwas für die hier (oder die in der nachfolgenden Erwägung) zu beantwortende Rechtsfrage gewonnen werden könnte.</w:t>
      </w:r>
    </w:p>
    <w:p>
      <w:r>
        <w:rPr>
          <w:b/>
        </w:rPr>
        <w:t>E. 2.2</w:t>
      </w:r>
    </w:p>
    <w:p>
      <w:r>
        <w:t>Der Beschwerde ist auch insofern kein Erfolg beschieden, als die Verweigerung der Fristwiederherstellung gerügt wird. Zur Begründung seines Gesuchs liess der Beschwerdeführer vorinstanzlich geltend machen, die vom Bundesverwaltungsgericht angesetzte Zahlungsfrist (bis 1. Oktober 2018) sei "im internen System" der Rechtsvertreterin "deckungsgleich mit der (...) Rechtsmittelfrist für eine Beschwerde gegen die Verfügung betr. Kostenvorschuss" (bis 3. Oktober 2018) eingetragen worden. Dies sei in der Meinung erfolgt, es würde für beides dieselbe Frist gelten. Das Bundesverwaltungsgericht hat zutreffend festgestellt, dass der Irrtum beim Eintragen der Zahlungsfrist ins Fristenbuch Folge eines auf Unachtsamkeit beruhenden Versehens in der Anwaltskanzlei der Rechtsvertreterin ist. Von einem unverschuldeten Hindernis im Sinne von Art. 24 Abs. 1 VwVG kann keine Rede sein. Wenn auch das Ende von Zahlungs- und Rechtsmittelfrist hier nahe beieinander liegen, kann der Irrtum bei der Führung des Fristenbuches keinen Fristwiederherstellungsgrund bilden, würde doch sonst jede Fristenregelung illusorisch und könnte in jedem Fall umgangen werden mit dem Hinweis, die rechtzeitige Vornahme der Handlung sei versehentlich unterblieben (Urteile 9C_821/2016 vom 2. Februar 2017 E. 3.2 und 9C_222/2010 vom 30. Juni 2010 E. 3.3).</w:t>
      </w:r>
    </w:p>
    <w:p>
      <w:r>
        <w:rPr>
          <w:b/>
        </w:rPr>
        <w:t>E. 3</w:t>
      </w:r>
    </w:p>
    <w:p>
      <w:r>
        <w:t>Nach dem Gesagten ist das vorgängig angedrohte Nichteintreten der Vorinstanz wegen Fristversäumnisses rechtens.</w:t>
      </w:r>
    </w:p>
    <w:p>
      <w:r>
        <w:rPr>
          <w:b/>
        </w:rPr>
        <w:t>E. 4</w:t>
      </w:r>
    </w:p>
    <w:p>
      <w:r>
        <w:t>Die im Sinne von Art. 109 Abs. 2 lit. a BGG offensichtlich unbegründete Beschwerde ist im vereinfachten Verfahren abzuweisen.</w:t>
      </w:r>
    </w:p>
    <w:p>
      <w:r>
        <w:rPr>
          <w:b/>
        </w:rPr>
        <w:t>E. 5</w:t>
      </w:r>
    </w:p>
    <w:p>
      <w:r>
        <w:t>Dem Ausgang des Verfahrens entsprechend hat der Beschwerdeführer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