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9C_861/2013 vom 22. Oktober 2014</w:t>
      </w:r>
    </w:p>
    <w:p>
      <w:r>
        <w:t>Bundesgericht, 2014-10-22, DE</w:t>
      </w:r>
    </w:p>
    <w:p>
      <w:r>
        <w:rPr>
          <w:b/>
        </w:rPr>
        <w:t xml:space="preserve">Quelle: </w:t>
      </w:r>
      <w:r>
        <w:t>https://mcp.opencaselaw.ch/entscheid/bger_9C_861_2013</w:t>
      </w:r>
    </w:p>
    <w:p>
      <w:r>
        <w:t>FR: TF 9C_861/2013 du 22 octobre 2014</w:t>
      </w:r>
    </w:p>
    <w:p>
      <w:r>
        <w:t>IT: TF 9C_861/2013 del 22 ottobre 2014</w:t>
      </w:r>
    </w:p>
    <w:p>
      <w:pPr>
        <w:pStyle w:val="Heading2"/>
      </w:pPr>
      <w:r>
        <w:t>Erwägungen</w:t>
      </w:r>
    </w:p>
    <w:p>
      <w:r>
        <w:rPr>
          <w:b/>
        </w:rPr>
        <w:t>E. 1</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136 II 23 E. 3 S. 25; 136 V 7 E. 2.1 S. 10).</w:t>
      </w:r>
    </w:p>
    <w:p>
      <w:r>
        <w:rPr>
          <w:b/>
        </w:rPr>
        <w:t>E. 1.1</w:t>
      </w:r>
    </w:p>
    <w:p>
      <w:r>
        <w:t>Nach dem kraft Art. 2 ATSG und Art. 1 Abs. 1 IVG auch in Streitigkeiten betreffend ein Hilfsmittel der Invalidenversicherung anwendbaren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S. 9; 134 II 120 E. 2.1 S. 122).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138 V 292 E. 3 S. 295 mit Hinweisen).</w:t>
      </w:r>
    </w:p>
    <w:p>
      <w:r>
        <w:t>Wer keinen Anspruch aus eigenem Recht hat und somit nicht Verfügungsadressat im materiellen Sinn ist, ist zur Beschwerde nur berechtigt, wenn er über ein spezifisches Rechtsschutzinteresse im Sinne eines unmittelbaren und konkreten, nicht bloss mittelbaren faktischen Interesses an der Aufhebung oder Änderung des streitigen Verwaltungsaktes verfügt oder wenn er in einer spezifischen, besonders nahen Beziehung zur Streitsache steht ( BGE 138 V 292 E. 4 S. 296; 133 V 188 E. 4.3.3 S. 192 f.).</w:t>
      </w:r>
    </w:p>
    <w:p>
      <w:r>
        <w:rPr>
          <w:b/>
        </w:rPr>
        <w:t>E. 1.2.1</w:t>
      </w:r>
    </w:p>
    <w:p>
      <w:r>
        <w:t>Die Vorinstanz hat - stillschweigend - ein schutzwürdiges Interesse im Sinne von Art. 59 ATSG der in den Prozess eingetretenen Erben des während des hängigen Beschwerdeverfahrens verstorbenen Versicherten an der Prüfung des von der IV-Stelle verneinten Anspruchs auf Abgabe des Umweltkontrollgerätes 'Control Omni' als Hilfsmittel gestützt auf Ziff. 15.2 HVI-Anhang (i. V. m. Art. 2 HVI und Art. 21 IVG ) bejaht. Ihr Rechtsvertreter hatte auf entsprechende Anfrage der Instruktionsrichterin angegeben, die FST (Abgabestelle im Sinne von Art. 26bis Abs. 1 IVG für elektronische Hilfsmittel für Körperbehinderte; vgl. Rz. 1050 und Anhang 2 des Kreisschreibens über die Abgabe von Hilfsmitteln durch die Invalidenversicherung [KHMI] i.V.m. Art. 24 Abs. 1 IVV ) habe sich im Dezember 2011 von sich aus veranlasst gesehen, "in Rücksicht auf die Menschenwürde gleichsam als Überlebenshilfe" das Gerät bereitzustellen, sodass es der Gesuchsteller bis zu seinem Tod am ........ noch habe nutzen können. Dem Versicherten waren somit im Zusammenhang mit dem ihm zur Benützung überlassenen 'Control Omni' einschliesslich der hiefür erforderlichen Instruktionen und eines Gebrauchstrainings (vgl. Anhang 1 des Vertrages der FST mit dem BSV) keine Kosten erwachsen. Unter diesen Umständen ist nicht ersichtlich, inwiefern seine Erben ein schutzwürdiges Interesse an der gerichtlichen Beurteilung der Frage haben könnten, ob nach Gesetz und Verordnung Anspruch auf Abgabe als Hilfsmittel zu Lasten der Invalidenversicherung bestand. Weder haben sie finanzielle Nachteile erlitten, die es auszugleichen gilt, noch würde ein in ihrem Sinne lautender Entscheid über die Feststellung des Anspruchs hinaus für sie Vorteile bringen. Abgesehen davon käme Eintreten auf die Beschwerde der Erben des verstorbenen Versicherten im Ergebnis einer unzulässigen Abtretung des streitigen Anspruchs an die FST gleich (vgl. Art. 22 Abs. 1 ATSG ).</w:t>
      </w:r>
    </w:p>
    <w:p>
      <w:r>
        <w:rPr>
          <w:b/>
        </w:rPr>
        <w:t>E. 1.2.2</w:t>
      </w:r>
    </w:p>
    <w:p>
      <w:r>
        <w:t>Die Beschwerdelegitimation der FST hat die Vorinstanz mit folgender Begründung bejaht: Durch die abgelehnte leihweise Abgabe des von ihr gelieferten Umweltkontrollgeräts 'Control Omni' als Hilfsmittel werde der Stiftungszweck (Anstreben einer ausreichenden Versorgung von Behinderten mit elektronischen Hilfsmitteln) im konkreten Fall vereitelt. Zu dieser ideellen Betroffenheit komme dazu, dass sie bei Kostengutsprache in eine Art vertragliche Beziehung mit der IV-Stelle getreten wäre. Sie sei daher durch die angefochtene Verfügung stärker betroffen als die Allgemeinheit. Wer in diesem Sinne durch eine Verfügung (besonders) berührt sei, habe ein schutzwürdiges Interesse an deren Aufhebung und sei deshalb aktivlegitimiert.</w:t>
      </w:r>
    </w:p>
    <w:p>
      <w:r>
        <w:t>Die FST hat keinen Anspruch aus eigenem Recht und ist somit nicht Verfügungsadressat im materiellen Sinn. Davon abgesehen ist die Beschwerdegegnerin ihr als Leistungserbringerin gegenüber gar nicht verfügungsbefugt ( BGE 119 V 309 E. 3b S. 314 mit Hinweisen). Sie ist aus den von der Vorinstanz genannten Gründen von der Ablehnung der Kostenübernahme für die leihweise Abgabe des Umweltkontrollgeräts 'Control Omni' zu Lasten der Invalidenversicherung wohl stärker betroffen als andere Dritte. Dieses Berührtsein erreicht indessen nicht das für die Beschwerdelegitimation erforderliche Ausmass. Es ergibt sich im Wesentlichen aus ihrer Stellung als potenzielle Leistungserbringerin, d.h. bei Bejahung des streitigen Anspruchs würde sie für die - trotz fehlender Kostengutsprache durch die IV-Stelle - erbrachten Leistungen nach Vertrag - doch noch - entschädigt. Die FST ist somit in erster Linie in ihren finanziellen Interessen betroffen, jedoch nicht direkt oder stärker als etwa ein Unternehmen bei einem nicht zustandegekommenen Vertragsabschluss. Daran ändert nichts, dass und soweit sie vor der Verfügung Dienstleistungen erbrachte, insbesondere Abklärung und individuelle Beratung, für die sie bei rechtskräftiger Ablehnung der streitigen Hilfsmittelabgabe nicht entschädigt wird. Diese Risikotragung ist Bestandteil der freiwillig eingegangenen Leistungsvereinbarung mit dem BSV. Ebensowenig kann von Relevanz sein, dass die FST das Gerät dem Gesuchsteller entschädigungslos abgab. Eine allfällige Abtretung des streitigen Anspruchs durch den Versicherten oder seine Erben - wofür allerdings keine Anhaltspunkte in den Akten bestehen - wäre unbeachtlich ( Art. 22 Abs. 1 ATSG ). Schliesslich kann auch im Lichte des Stiftungszweckes (Anstreben einer ausreichenden Versorgung von Behinderten mit elektronischen Hilfsmitteln) im Umstand, dass die Abgabestelle in einem konkreten Fall mangels Kostenübernahme durch die Invalidenversicherung kein Umweltkontrollgerät gegen eine entsprechende Entschädigung leihweise abgeben kann, nicht ein derartiger ideeller Nachteil erblickt werden, der es rechtfertigte, ihre Beschwerdelegitimation zu bejahen.</w:t>
      </w:r>
    </w:p>
    <w:p>
      <w:r>
        <w:rPr>
          <w:b/>
        </w:rPr>
        <w:t>E. 1.3</w:t>
      </w:r>
    </w:p>
    <w:p>
      <w:r>
        <w:t>Nach dem Gesagten hätte die Vorinstanz mangels eines schutzwürdigen Interesses im Sinne von Art. 59 ATSG nicht auf die Beschwerden der Erben des verstorbenen Versicherten und der FST eintreten dürfen und das Rechtsmittel mit dieser Begründung abweisen müssen. Auch aus prozessualen Gründen wird indessen davon abgesehen, den angefochtenen Entscheid insoweit förmlich aufzuheben (vgl. BGE 136 V 7 E. 2.5 S. 15).</w:t>
      </w:r>
    </w:p>
    <w:p>
      <w:r>
        <w:rPr>
          <w:b/>
        </w:rPr>
        <w:t>E. 2</w:t>
      </w:r>
    </w:p>
    <w:p>
      <w:r>
        <w:t>Ausgangsgemäss sind die Beschwerdeführer (Erben des Versicherten, FST) zu gleichen Teilen und in solidarischer Haftbarkeit kostenpflichtig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