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860/2011 vom 14. März 2012</w:t>
      </w:r>
    </w:p>
    <w:p>
      <w:r>
        <w:t>Bundesgericht, 2012-03-14, DE</w:t>
      </w:r>
    </w:p>
    <w:p>
      <w:r>
        <w:rPr>
          <w:b/>
        </w:rPr>
        <w:t xml:space="preserve">Quelle: </w:t>
      </w:r>
      <w:r>
        <w:t>https://mcp.opencaselaw.ch/entscheid/bger_9C_860_2011</w:t>
      </w:r>
    </w:p>
    <w:p>
      <w:r>
        <w:t>FR: TF 9C 860/2011 du 14 mars 2012</w:t>
      </w:r>
    </w:p>
    <w:p>
      <w:r>
        <w:t>IT: TF 9C 860/2011 del 14 marzo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Vorinstanz und Beschwerdeführer haben die gesetzlichen Bestimmungen und von der Rechtsprechung entwickelten Grundsätze bezüglich der Zumutbarkeit der Behandlung im Sinne von Art. 21 Abs. 4 ATSG (vgl. SVR 2008 IV Nr. 7 S. 19 ff., I 824/06 E. 3 und 4; Urteile 9C_686/2009 vom 22. Dezember 2009 E. 3 und 8C_128/2007 vom 14. Januar 2008 E. 3.3) richtig dargelegt. Hierauf wird verwiesen.</w:t>
      </w:r>
    </w:p>
    <w:p>
      <w:r>
        <w:rPr>
          <w:b/>
        </w:rPr>
        <w:t>E. 3.1</w:t>
      </w:r>
    </w:p>
    <w:p>
      <w:r>
        <w:t>Die Vorinstanz anerkennt zu Recht, dass die Voraussetzungen für eine Rentenherabsetzung zufolge ungenügender Kooperation gemäss Art. 21 Abs. 4 ATSG erfüllt sind. Sie fährt dann aber fort, die Versicherte sei der Auflage vom 15. Dezember 2008 doch noch nachgekommen und habe am 15. April 2010 Dr. med. K.________ aufgesucht, wie aus deren Bericht vom 16. April 2010 hervorgehe. Dies sei zwar offensichtlich erst unter dem konkreten Druck der mit Vorbescheid vom 6. April 2010 in Aussicht gestellten Rentenherabsetzung geschehen. Dennoch erscheine eine solche "zu einem Zeitpunkt, in dem sich die Beschwerdeführerin (Versicherte) der ihr auferlegten Therapie nunmehr unterzog, unter den konkreten Umständen nicht als verhältnismässig". Denn die Beschwerdegegnerin (IV-Stelle) habe während vieler Jahre davon abgesehen, die Versicherte zu einer regelmässigen Therapie anzuhalten. Die IV-Stelle habe aufgrund ihrer Erfahrungen mit dem ersten Versuch vom April 2007 nicht ohne weiteres damit rechnen können, dass die Versicherte durch ihre Ärzte genügend Unterstützung erfahren hätte, zumal diese auch keine Behandlungsmöglichkeiten gesehen hätten. Unter dem Gesichtspunkt der Verhältnismässigkeit erscheine es daher als problematisch, dass die IV-Stelle die Versicherte nach der Aufforderung vom Dezember 2008 bis zur Aufnahme des nächsten Revisionsverfahrens vom Juni 2009 allein gelassen und auf diese Weise eine erneute Schadenminderungspflichtverletzung in Kauf genommen habe. Vielmehr wäre eine solche Verletzung möglicherweise zu vermeiden gewesen, wenn die IV-Stelle der Versicherten die Weisung erteilt hätte, ihr bereits nach einigen Wochen mitzuteilen, ob und bei wem sie sich in die angeordnete Behandlung begeben habe, und wenn sie sich dabei hätte ermächtigen lassen, direkt mit dem behandelnden Psychiater Kontakt aufzunehmen, und die Versicherte auf diese Weise bei ihrem Eingliederungsversuch enger begleitet hätte.</w:t>
      </w:r>
    </w:p>
    <w:p>
      <w:r>
        <w:rPr>
          <w:b/>
        </w:rPr>
        <w:t>E. 3.2</w:t>
      </w:r>
    </w:p>
    <w:p>
      <w:r>
        <w:t>Dem kann nicht beigepflichtet werden. Es verletzt Bundesrecht, wenn die Vorinstanz die Schadenminderungslast, welche die versicherte Person trifft, auf die Durchführungsstelle überwälzt. In diesem Sinn hat das Bundesgericht in seiner Rechtsprechung festgehalten, dass die Obliegenheit zur Schadenminderung sich direkt an die versicherte Person richtet (vgl. Urteil 9C_686/2009 vom 22. Dezember 2009 E. 3 in fine). Davon abgesehen, kann eine so nahe Begleitung der versicherten Person, wie sie der Vorinstanz vorschwebt, im Rahmen der Massenverwaltung realistischerweise nicht verlangt werden. In casu war die Frage der adäquaten Therapie im Verlaufe der Jahre bei verschiedenen Anlässen immer wieder thematisiert worden, weshalb es der urteilsfähigen Versicherten klar sein musste und konnte, dass sie die zumutbaren Therapiemöglichkeiten auszuschöpfen hatte, was sie aber nicht einmal bei der ärztlich verordneten Medikation tat, wie aus einem Gutachten von Dres. med. A.________ und S.________ vom 3. Dezember 2008 klar hervorgeht.</w:t>
      </w:r>
    </w:p>
    <w:p>
      <w:r>
        <w:rPr>
          <w:b/>
        </w:rPr>
        <w:t>E. 3.3</w:t>
      </w:r>
    </w:p>
    <w:p>
      <w:r>
        <w:t>Nach dem Gesagten ist der vorinstanzliche Entscheid aufzuheben, wobei die offensichtlich begründete Beschwerde nach Art. 109 Abs. 2 lit. b BGG im vereinfachten Verfahren und mit summarischer Begründung zu erledigen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