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858/2008 vom 17. Februar 2009</w:t>
      </w:r>
    </w:p>
    <w:p>
      <w:r>
        <w:t>Bundesgericht, 2009-02-17, DE</w:t>
      </w:r>
    </w:p>
    <w:p>
      <w:r>
        <w:rPr>
          <w:b/>
        </w:rPr>
        <w:t xml:space="preserve">Quelle: </w:t>
      </w:r>
      <w:r>
        <w:t>https://mcp.opencaselaw.ch/entscheid/bger_9C_858_2008</w:t>
      </w:r>
    </w:p>
    <w:p>
      <w:r>
        <w:t>FR: TF 9C 858/2008 du 17 février 2009</w:t>
      </w:r>
    </w:p>
    <w:p>
      <w:r>
        <w:t>IT: TF 9C 858/2008 del 17 febbraio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In BGE 126 V 288 E. 2d S. 293 f. hat das Eidgenössische Versicherungsgericht in Bestätigung seiner früheren Rechtsprechung an der hinsichtlich der Invaliditätsbemessung koordinierenden Funktion des einheitlichen Invaliditätsbegriffs in den verschiedenen Sozialversicherungszweigen festgehalten. Zwar dürfen sich Sozialversicherungsträger nicht ohne weitere eigene Prüfung mit der blossen Übernahme des von einem anderen Versicherer festgelegten Invaliditätsgrades begnügen. Indessen geht es auch nicht an, dass die Invalidität in den einzelnen Sozialversicherungszweigen völlig unabhängig von allenfalls schon getroffenen Entscheiden anderer Versicherer festgelegt wird. Zumindest rechtskräftig abgeschlossene Invaliditätsschätzungen dürfen nicht einfach unbeachtet bleiben. Vielmehr müssen sie als Indiz für eine zuverlässige Beurteilung gewertet und als solches in den Entscheidungsprozess erst später verfügender Versicherungsträger miteinbezogen werden. Unter bestimmten Umständen (siehe die Aufzählung der Gründe in BGE 126 V 288 E. 2b S. 292 und E. 2d S. 294) kann auch von einer rechtskräftigen Invaliditätsschätzung eines anderen Versicherers abgewichen werden. In BGE 133 V 549 E. 6.2-6.4 S. 554 ff. hat das Bundesgericht alsdann eine solche Bindungswirkung der Invaliditätsschätzung der Unfallversicherung für die Invalidenversicherung insbesondere mit der Begründung verneint, dass die Bemessung der Unfallversicherung im Gegensatz zur Invalidenversicherung lediglich die natürlich und adäquat kausalen gesundheitlichen und erwerblichen Unfallfolgen berücksichtigt. Diese Begründung gilt im Verhältnis zwischen Militärversicherung und Invalidenversicherung nicht. Es besteht daher kein Anlass, soweit es um die Invaliditätsbemessung von Militärversicherung und Invaliditätsversicherung geht, ebenfalls von der in BGE 126 V 288 im Ergebnis weitgehend bestätigten Bindungswirkung der Invaliditätsschätzung des einen Sozialversicherers für den anderen abzuweichen, soweit allein Gesundheitsschäden in Frage stehen, für welche die Militärversicherung die Bundeshaftung anerkennt. Dies bedeutet, dass eine rechtskräftige Invaliditätsschätzung der Militärversicherung als Indiz für eine zuverlässige Beurteilung zu werten und als solches in den Entscheidungsprozess der später verfügenden Invalidenversicherung miteinzubeziehen ist, wie das Eidgenössische Versicherungsgericht in BGE 126 V 288 E. 2d S. 293 f. mit Bezug auf das Verhältnis zwischen Unfall- und Invalidenversicherung dargelegt hat. Eine in Rechtskraft erwachsene Rentenverfügung der Militärversicherung als massgeblich zu erachten hat die IV-Stelle namentlich in Konstellationen wie der vorliegenden, in welchen sämtliche Gesundheitsschäden mit Auswirkungen auf die Arbeits- und Erwerbsfähigkeit auch in der Militärversicherung für die Ermittlung des Invaliditätsgrades zu berücksichtigen sind.</w:t>
      </w:r>
    </w:p>
    <w:p>
      <w:r>
        <w:rPr>
          <w:b/>
        </w:rPr>
        <w:t>E. 3</w:t>
      </w:r>
    </w:p>
    <w:p>
      <w:r>
        <w:t>Die Vorinstanz ist an sich ebenfalls von einer solchen Bindungswirkung ausgegangen. Im Ergebnis hat sie indessen den Invaliditätsgrad frei geprüft. Ausschlaggebend ist die Frage, ob der Beschwerdeführer in angepasster Tätigkeit einer Arbeitsfähigkeit von 100 % hat (wie die Vorinstanz angenommen hat) oder aber bloss 80 %, wovon der Kreisarzt der Militärversicherung und in der Folge dann auch die Militärversicherung ausgegangen sind. Der Unterschied in der Betrachtungsweise liegt darin begründet, dass der Kreisarzt einen Tag pro Woche für Therapie und Erholung zugestanden hat, wogegen die Vorinstanz erwogen hat, eine besondere Therapie- und Erholungsbedürftigkeit sei nicht ausgewiesen. Diese Beurteilung wäre kaum zu beanstanden, wenn sie im Rahmen einer freien Prüfung erfolgte. Doch ist auch die Annahme der Militärversicherung eine vertretbare Ermessensausübung, so dass sich angesichts der dargelegten Rechtsprechung eine abweichende Beurteilung für die Invalidenversicherung nicht rechtfertigt. Da somit im vorliegenden Fall keine Gründe zu erkennen sind, die ausnahmsweise ein Abweichen von der rechtskräftigen Invaliditätsschätzung der Militärversicherung gemäss Verfügung vom 5. Dezember 2006 nahe legen, ist auch für die Belange der Invalidenversicherung von einem Invaliditätsgrad von 63 % auszugehen. Der Beschwerdeführer hat damit Anspruch auf eine Dreiviertelsrente der Invalidenversicherung, die ihm antragsgemäss erst ab 1. August 2007 auszurichten ist, weil das Bundesgericht nicht über die Begehren der Parteien hinausgehen darf ( Art. 107 Abs. 1 BGG ).</w:t>
      </w:r>
    </w:p>
    <w:p>
      <w:r>
        <w:rPr>
          <w:b/>
        </w:rPr>
        <w:t>E. 4</w:t>
      </w:r>
    </w:p>
    <w:p>
      <w:r>
        <w:t>Dem Prozessausgang entsprechend sind die Gerichtskosten der IV-Stelle aufzuerlegen ( Art. 66 Abs. 1 BGG ). Diese hat dem obsiegenden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