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857/2011 vom 4. Januar 2012</w:t>
      </w:r>
    </w:p>
    <w:p>
      <w:r>
        <w:t>Bundesgericht, 2012-01-04, DE</w:t>
      </w:r>
    </w:p>
    <w:p>
      <w:r>
        <w:rPr>
          <w:b/>
        </w:rPr>
        <w:t xml:space="preserve">Quelle: </w:t>
      </w:r>
      <w:r>
        <w:t>https://mcp.opencaselaw.ch/entscheid/bger_9C_857_2011</w:t>
      </w:r>
    </w:p>
    <w:p>
      <w:r>
        <w:t>FR: TF 9C 857/2011 du 4 janvier 2012</w:t>
      </w:r>
    </w:p>
    <w:p>
      <w:r>
        <w:t>IT: TF 9C 857/2011 del 4 gennaio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Prozessthema bildet die Frage, ob sich der Invaliditätsgrad seit der letzten rechtskräftigen Rentenablehnung (Einspracheentscheid vom 2.1 23. August 2006) bis zur verfügungsweisen Neuprüfung vom 3. Mai 2010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Gesundheitszustandes erheblich verändert haben ( BGE 133 V 545 E. 6.1 S. 546, 130 V 343 E. 3.5 S. 349 f. mit Hinweisen). Diese Grundsätze gelten sinngemäss auch im Neuanmeldeverfahren nach Art. 87 Abs. 4 IVV ( BGE 117 V 198 ).</w:t>
      </w:r>
    </w:p>
    <w:p>
      <w:r>
        <w:rPr>
          <w:b/>
        </w:rPr>
        <w:t>E. 2.2</w:t>
      </w:r>
    </w:p>
    <w:p>
      <w:r>
        <w:t>Anzufügen ist, dass die Frage, ob sich eine Arbeits(un)fähigkeit in einem bestimmten Zeitraum in einem rentenrevisionsrechtlich relevanten Sinne ( Art. 17 ATSG ; Art. 87 Abs. 3 und 4 IVV ) verändert hat, eine Tatfrage darstellt (Urteil I 692/06 vom 19. Dezember 2006 E. 3.1) und einer letztinstanzlichen Berichtigung oder Ergänzung somit nur im gesetzlichen Rahmen von Art. 105 Abs. 2 BGG zugänglich ist (siehe E. 1.2 hievor). Frei überprüfbar ist dagegen, ob das kantonale Gericht bei der Sachverhaltsermittlung vom korrekten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9C_149/2009 vom 14. Juli 2009 E. 3.2.3, in: SVR 2009 IV Nr. 57 S. 177).</w:t>
      </w:r>
    </w:p>
    <w:p>
      <w:r>
        <w:rPr>
          <w:b/>
        </w:rPr>
        <w:t>E. 3.1</w:t>
      </w:r>
    </w:p>
    <w:p>
      <w:r>
        <w:t>Das kantonale Gericht stellte in Würdigung der medizinischen Unterlagen fest, Dr. med. M.________ beschreibe in seinem Gutachten vom 29. März 2009 in erster Linie Zustände oder Ereignisse vor der letzten Rentenrevision, worauf die von ihm gestellten Diagnosen gründeten. Diese Ereignisse oder Zustände könnten jedoch nicht Grund für eine Veränderung seit der Rentenaufhebung im Jahr 2006 sein. Für die Zeit seit 2006 erwähne Dr. med. M.________ keine wesentlichen biografischen Ereignisse, die nachvollziehbar einen Einfluss auf die Krankheitsentwicklung hätten. Solche Ereignisse erwähnten auch die übrigen Ärzte, insbesondere Dr. med. N.________, nicht. Auch die von der Versicherten erwähnten, von Dr. med. M.________ zusätzlich aufgeführten Befunde seien nicht derart, dass von einer wesentlichen Verschlechterung auszugehen wäre. Es sei somit nicht ersichtlich, auf welche Veränderung sich die attestierte Unzumutbarkeit einer erwerblichen Tätigkeit gründe. Das Gutachten von Dr. med. M.________ enthalte vielmehr eine im Vergleich zu 2006 abweichende medizinische Beurteilung des an sich gleich gebliebenen Sachverhaltes. Dies stelle jedoch keine genügende revisionsrechtliche Grundlage dar. Aufgrund des rechtskräftigen Revisionsurteils vom 18. Juni 2007 könne im Übrigen nicht von einer offensichtlichen Unrichtigkeit der seinerzeitigen Rentenaufhebung ausgegangen werden. Da feststehe, dass sich der Zustand der Versicherten, den im Übrigen auch Dr. med. O.________ und Dr. med. P.________ als stationär bezeichneten, nicht verändert habe, brauche auf die von Dr. med. M.________ gestellten Diagnosen inhaltlich nicht eingegangen zu werden. Da im Vergleich zur Rentenaufhebung im Jahre 2006 keine wesentliche Verschlechterung des Gesundheitszustandes eingetreten sei, habe die IV-Stelle das Leistungsbegehren von 2008 zu Recht abgewiesen.</w:t>
      </w:r>
    </w:p>
    <w:p>
      <w:r>
        <w:rPr>
          <w:b/>
        </w:rPr>
        <w:t>E. 3.2</w:t>
      </w:r>
    </w:p>
    <w:p>
      <w:r>
        <w:t>Das kantonale Gericht hat verbindlich festgestellt, dass sich der Gesundheitszustand der Beschwerdeführerin seit der rechtskräftigen Rentenaufhebung im Jahre 2006 nicht in rentenrelevanter Weise verschlechtert hat. Diese tatsächlichen Feststellungen sind nicht mangelhaft im Sinne von Art. 97 Abs. 1 BGG . Namentlich hat das kantonale Gericht eingehend begründet, weshalb aus dem Gutachten des Dr. med. M.________ vom 29. März 2009 im Vergleich zum im Rentenaufhebungsverfahren eingeholten ABI-Gutachten vom 15. März 2006 keine Verschlechterung des Gesundheitszustandes ersichtlich ist. Diese Schlussfolgerung ist nach der Aktenlage nicht offensichtlich unrichtig, noch ist darin eine unvollständige Sachverhaltsfeststellung oder in der Ablehnung von Beweisweiterungen eine Verletzung des Untersuchungsgrundsatzes zu erblicken. Eine anspruchsrelevante Verschlimmerung des Gesundheitszustandes könnte nur bejaht werden, wenn eine psychische Krankheit neu aufgetreten ist oder sich wesentlich verschlimmert hat (vgl. BGE 127 V 294 E. 5a S. 299 mit Hinweis auf AHI 2000 S. 153 E. 3). Die weitgehend appellatorischen Vorbringen in der Beschwerde sind daher allesamt nicht geeignet, die tatsächlichen Feststellungen des kantonalen Gerichts als mangelhaft im Sinne von Art. 97 Abs. 1 BGG und die Beweiswürdigung als willkürlich erscheinen zu lassen.</w:t>
      </w:r>
    </w:p>
    <w:p>
      <w:r>
        <w:rPr>
          <w:b/>
        </w:rPr>
        <w:t>E. 4</w:t>
      </w:r>
    </w:p>
    <w:p>
      <w:r>
        <w:t>Dem Ausgang des Verfahrens entsprechend hat die Beschwerdeführerin grundsätzlich die Gerichtskosten zu tragen ( Art. 66 Abs. 1 BGG ). Ihrem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