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9C_856/2015 vom 19. April 2016</w:t>
      </w:r>
    </w:p>
    <w:p>
      <w:r>
        <w:t>Bundesgericht, 2016-04-19, FR</w:t>
      </w:r>
    </w:p>
    <w:p>
      <w:r>
        <w:rPr>
          <w:b/>
        </w:rPr>
        <w:t xml:space="preserve">Quelle: </w:t>
      </w:r>
      <w:r>
        <w:t>https://mcp.opencaselaw.ch/entscheid/bger_9C_856_2015</w:t>
      </w:r>
    </w:p>
    <w:p>
      <w:r>
        <w:t>FR: TF 9C_856/2015 du 19 avril 2016</w:t>
      </w:r>
    </w:p>
    <w:p>
      <w:r>
        <w:t>IT: TF 9C_856/2015 del 19 aprile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le droit du recourant à une rente de l'assurance-invalidité, singulièrement le taux d'invalidité à la base de cette prestation.</w:t>
      </w:r>
    </w:p>
    <w:p>
      <w:r>
        <w:rPr>
          <w:b/>
        </w:rPr>
        <w:t>E. 3.1</w:t>
      </w:r>
    </w:p>
    <w:p>
      <w:r>
        <w:t>Se fondant sur les conclusions du rapport d'examen bidisciplinaire établi par le SMR, la juridiction cantonale a constaté que le recourant souffrait d'une atteinte somatique qui entravait sa capacité de travail dans une mesure de 20 % dans son activité habituelle de conseiller technique ou de chef d'entreprise, ainsi que dans une activité adaptée à ses limitations fonctionnelles.</w:t>
      </w:r>
    </w:p>
    <w:p>
      <w:r>
        <w:rPr>
          <w:b/>
        </w:rPr>
        <w:t>E. 3.2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d'affirmer que l'office intimé et la juridiction cantonale auraient fait fi de l'ensemble des certificats et rapports médicaux versés au dossier, le recourant n'établit nullement, au moyen d'une argumentation précise et étayée, que le résultat de l'appréciation des preuves à laquelle ont procédé les premiers juges est insoutenable. En particulier, il ne cherche nullement à démontrer l'existence d'éléments cliniques ou diagnostiques permettant de motiver un autre point de vue que celui retenu par le SMR ou justifiant, à tout le moins, la mise en oeuvre d'une mesure d'instruction complémentaire. Eu égard aux griefs allégués, il n'y a pas lieu de s'écarter de la constatation selon laquelle le recourant disposait d'une capacité de travail de 80 %, quelle que soit l'activité envisagée.</w:t>
      </w:r>
    </w:p>
    <w:p>
      <w:r>
        <w:rPr>
          <w:b/>
        </w:rPr>
        <w:t>E. 4.1</w:t>
      </w:r>
    </w:p>
    <w:p>
      <w:r>
        <w:t>A ce constat de fait sur la capacité résiduelle de travail du recourant, il faut ajouter - il convient de compléter d'office sur ce point l'état de fait du jugement attaqué ( art. 105 al. 2 LTF ) - que celle-ci existe selon les médecins du SMR depuis le 14 juin 2004. A l'échéance, le 5 décembre 2004, du délai de carence d'une année prévue par l' art. 29 al. 1 let. b LAI (dans sa teneur en vigueur jusqu'au 31 décembre 2007; aujourd'hui: art. 28 al. 1 let. b LAI ), l'incapacité de travail, respectivement de gain du recourant dans son activité habituelle n'était ainsi que de 20 %. Comme l'avait mis en évidence l'office intimé dans sa décision initiale de refus de rente du 5 février 2009, laquelle était en tous points conforme au droit fédéral, le droit à une rente de l'assurance-invalidité pouvait pour ce motif être refusé au recourant.</w:t>
      </w:r>
    </w:p>
    <w:p>
      <w:r>
        <w:rPr>
          <w:b/>
        </w:rPr>
        <w:t>E. 4.2</w:t>
      </w:r>
    </w:p>
    <w:p>
      <w:r>
        <w:t>Contrairement à ce qu'avait statué la juridiction cantonale dans son jugement de renvoi du 26 août 2010, aucun élément ne justifiait de renvoyer la cause à l'office intimé afin qu'il complétât l'instruction. Le fait que le recourant exerçait une activité accessoire indépendante pour le compte de la société C.________ SA en sus de son activité principale pour le compte de B.________ SA ne constituait pas un élément susceptible d'influer la détermination du degré d'invalidité du recourant. Dans la mesure où le SMR avait établi que le recourant était en mesure, moyennant une diminution de rendement de 20 %, de poursuivre les activités qu'il exerçait précédemment, la perte de gain ne pouvait que correspondre à la diminution de rendement.</w:t>
      </w:r>
    </w:p>
    <w:p>
      <w:r>
        <w:rPr>
          <w:b/>
        </w:rPr>
        <w:t>E. 5</w:t>
      </w:r>
    </w:p>
    <w:p>
      <w:r>
        <w:t>Compte tenu de ce qui précède, il n'y a pas lieu d'examiner les griefs soulevés par le recourant à l'encontre du montant du revenu d'invalide retenu par la juridiction cantonale, ce point étant sans pertinence pour l'issue de la présente cause.</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