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9C_854/2012 vom 30. Januar 2013</w:t>
      </w:r>
    </w:p>
    <w:p>
      <w:r>
        <w:t>Bundesgericht, 2013-01-30, DE</w:t>
      </w:r>
    </w:p>
    <w:p>
      <w:r>
        <w:rPr>
          <w:b/>
        </w:rPr>
        <w:t xml:space="preserve">Quelle: </w:t>
      </w:r>
      <w:r>
        <w:t>https://mcp.opencaselaw.ch/entscheid/bger_9C_854_2012</w:t>
      </w:r>
    </w:p>
    <w:p>
      <w:r>
        <w:t>FR: TF 9C_854/2012 du 30 janvier 2013</w:t>
      </w:r>
    </w:p>
    <w:p>
      <w:r>
        <w:t>IT: TF 9C_854/2012 del 30 gennaio 2013</w:t>
      </w:r>
    </w:p>
    <w:p>
      <w:pPr>
        <w:pStyle w:val="Heading2"/>
      </w:pPr>
      <w:r>
        <w:t>Erwägungen</w:t>
      </w:r>
    </w:p>
    <w:p>
      <w:r>
        <w:rPr>
          <w:b/>
        </w:rPr>
        <w:t>E. 1</w:t>
      </w:r>
    </w:p>
    <w:p>
      <w:r>
        <w:t>Die Beschwerdeführerin rügt wie schon in der Klageantwort, die Klage sei ohne rechtsgültige Unterschrift eingereicht bzw. von Personen unterschrieben worden, die nicht Mitglieder des Stiftungsrates und damit nicht zur Vertretung im Prozess berechtigt gewesen seien. Die Unterschriftsberechtigung sei zweifelhaft und unbelegt. Ebenfalls sei die Klage unzureichend begründet und die von der Vorinstanz in unzulässiger Weise selber verfasste Begründung stütze sich auf fremde (UV- und IV-)Verfahrensakten. Auf die Klage hätte nicht eintreten werden dürfen bzw. das Rechtsmittel ohne materielle Prüfung der Begehren zurückgewiesen werden müssen.</w:t>
      </w:r>
    </w:p>
    <w:p>
      <w:r>
        <w:rPr>
          <w:b/>
        </w:rPr>
        <w:t>E. 1.1</w:t>
      </w:r>
    </w:p>
    <w:p>
      <w:r>
        <w:t>Die Vorinstanz hat die Prozessfähigkeit der Unterzeichnenden in der zweiten diesbezüglich verbesserten Klageschrift vom 29. März 2011 als hinreichend belegt bezeichnet. Dem vermag die Beschwerdeführerin nichts entgegenzuhalten. Gemäss Art. 18 des mit Replik und Widerklageantwort eingereichten Organisationsreglements (in der ab 17. September 2009 gültigen Fassung) hat die Geschäftsleitung alle Aufgaben und Kompetenzen, die nicht dem Stiftungsrat, dessen Präsidenten oder den Ausschüssen vorbehalten sind. Daraus leitete die Klägerin auch die Befugnis der Geschäftsleitung zur Aufnahme und/ oder Einstellung von Prozessen ab. Die Beschwerdeführerin nennt keine Bestimmung des Organisationsreglements, die diese Kompetenz allenfalls einem anderen Organ, namentlich dem Stiftungsrat, zuordnen könnte. Unbestritten ist, dass die beiden Personen, welche die Eingabe vom 29. März 2011 unterzeichnet hatten, der Geschäftsleitung der Beschwerdegegnerin angehörten.</w:t>
      </w:r>
    </w:p>
    <w:p>
      <w:r>
        <w:rPr>
          <w:b/>
        </w:rPr>
        <w:t>E. 1.2</w:t>
      </w:r>
    </w:p>
    <w:p>
      <w:r>
        <w:t>Die Beschwerdegegnerin begründete die Rückforderung zuviel ausgerichteter Leistungen mit der Überentschädigungsberechnung vom 5. Juni 2009, welche zwar nicht in der Klageschrift enthalten war, jedoch in den aufgelegten Akten. Belege für ihre Zahlungen fehlten. Es ist nicht ersichtlich und die Beschwerdeführerin legt auch nicht dar, inwiefern es ihr mit zumutbarem Aufwand nicht möglich gewesen sein soll, die fragliche Berechnung etwa durch Vorlage eigener Belege über die erhaltenen Zahlungen substanziiert zu bestreiten (vgl. SVR 2011 AHV Nr. 13 S. 42, 9C_325/2010 E. 7.1.1; Urteil 9C_314/2008 vom 25. August 2008 E. 3.2). Abgesehen davon betrafen ihre Haupteinwendungen nicht in erster Linie die angerechneten Beträge als solche, sondern ob diese überhaupt berücksichtigt werden durften, was sie insbesondere in Bezug auf das zumutbarerweise noch erzielbare Erwerbseinkommen bestritt. Was schliesslich die Bezifferung der "Eckdaten" der Überentschädigungsberechnung in der Verfügung vom 19. Januar 2012 anbetrifft, bewegte sich die Vorinstanz damit durchaus im Rahmen von Art. 73 Abs. 2 BVG , wonach im erstinstanzlichen berufsvorsorgerechtlichen Verfahren der Untersuchungsgrundsatz gilt, eingeschränkt durch eine verstärkte Mitwirkungspflicht der Parteien (Urteil 9C_140/2012 vom 12. April 2012 E. 3.2.2.).</w:t>
      </w:r>
    </w:p>
    <w:p>
      <w:r>
        <w:rPr>
          <w:b/>
        </w:rPr>
        <w:t>E. 1.3</w:t>
      </w:r>
    </w:p>
    <w:p>
      <w:r>
        <w:t>Schliesslich befanden sich - mit Ausnahme der Belege für die eigenen Zahlungen - die wesentlichen Unterlagen für die Überentschädigungsberechnung, die der Rückforderung zugrundeliegen, bei den von der Beschwerdegegnerin eingereichten Akten, wie sich auch der vorinstanzlichen Begründung entnehmen lässt. Jedenfalls nennt die Beschwerdeführerin kein einziges Dokument, welches das kantonale Berufsvorsorgegericht aus einem fremden Verfahren beigezogen haben soll, ohne dass sie dazu Stellung nehmen konnte.</w:t>
      </w:r>
    </w:p>
    <w:p>
      <w:r>
        <w:t>Es verletzt somit kein Bundesrecht, dass die Vorinstanz auf die Klage eingetreten ist. Die in diesem Zusammenhang erhobene Rüge der Parteilichkeit des Berufsvorsorgegerichts ist unbegründet.</w:t>
      </w:r>
    </w:p>
    <w:p>
      <w:r>
        <w:rPr>
          <w:b/>
        </w:rPr>
        <w:t>E. 2</w:t>
      </w:r>
    </w:p>
    <w:p>
      <w:r>
        <w:t>Die Beschwerdeführerin beantragte in der Klageantwort eine öffentliche mündliche Gerichtsverhandlung (mindestens Parteiöffentlichkeit). In der Duplik hielt sie an diesem Begehren fest. Die Vorinstanz hat von einer öffentlichen Verhandlung abgesehen mit der Begründung bei der im Streite stehenden Frage der Überentschädigung handle es sich um eine rein rechnerische Frage von hoher Technizität. Es sei schlicht undenkbar, dass eine mündliche Verhandlung für die Falllösung erhebliche Informationen liefern könnte. Im Übrigen lasse das Verhalten der Beklagten auf eine Verzögerungstaktik schliessen, weshalb auch aus diesem Grund von einer öffentlichen Verhandlung abzusehen sei. Die Beschwerdeführerin rügt diese Rechtsauffassung zu Recht als bundesrechtswidrig.</w:t>
      </w:r>
    </w:p>
    <w:p>
      <w:r>
        <w:rPr>
          <w:b/>
        </w:rPr>
        <w:t>E. 2.1</w:t>
      </w:r>
    </w:p>
    <w:p>
      <w:r>
        <w:t>Aufgrund des klaren und unmissverständlichen Antrags der Beklagten war nach Art. 6 Ziff. 1 Satz 1 EMRK grundsätzlich eine öffentliche Verhandlung durchzuführen (vgl. auch Art. 61 lit. a ATSG , wonach das Verfahren vor den kantonalen Versicherungsgerichten in der Regel öffentlich ist; Urteil des Eidg. Versicherungsgerichts I 453/04 vom 21. Juli 2005 E. 2.2.2). Da sie zudem auch eine Referentenaudienz verlangte, ging ihr Begehren über eine bloss persönliche Anhörung oder Befragung hinaus (Urteil 8C_390/2012 vom 10. Oktober 2012 E. 2.1 und 2.3 mit Hinweisen). Nach der Rechtsprechung kann zwar von einer ausdrücklich beantragten öffentlichen Verhandlung abgesehen werden bei hoher Technizität der zur Diskussion stehenden Materie, worunter etwa rein rechnerische, versicherungsmathematische oder buchhalterische Probleme zu verstehen sind ( BGE 136 I 279 E. 1 S. 281; Urteil 8C_106/2011 vom 1. Juni 2011 E. 2.1). Wie die Beschwerdeführerin indessen richtig vorbringt, sind die rechnerischen Operationen im Rahmen der Überentschädigungsberechnung einfach. Die allenfalls zu berücksichtigenden Faktoren sind von Gesetz ( Art. 24 BVV 2 in Verbindung mit Art. 34a Abs. 1 BVG ) und Vorsorgereglement (hier: Art. 24 Versicherungsreglement 2005) vorgegeben. Im Vordergrund stehen dagegen etwa die Höhe des mutmasslich entgangenen Verdienstes oder ob und in welcher Höhe ein zumutbarerweise noch erzielbares Erwerbseinkommen anzurechnen ist. Es kann diesbezüglich nicht ohne weiteres auf das im invalidenversicherungsrechtlichen Verfahren ermittelte Invalideneinkommen abgestellt werden ( BGE 137 V 20 E. 2.2 S. 23).</w:t>
      </w:r>
    </w:p>
    <w:p>
      <w:r>
        <w:rPr>
          <w:b/>
        </w:rPr>
        <w:t>E. 2.2</w:t>
      </w:r>
    </w:p>
    <w:p>
      <w:r>
        <w:t>Auch die weiteren Tatbestände, die das Absehen von einer öffentlichen Verhandlung rechtfertigen können, sind zu verneinen. Vorab hat die Vorinstanz nicht näher begründet, weshalb der bereits in der Klageantwort gestellte diesbezügliche Antrag als schikanös zu betrachten war und auf eine Verzögerungstaktik schliessen liess. Ebenfalls kann nicht gesagt werden, auch ohne öffentliche Verhandlung sei der Ausgang des Verfahrens prozessual oder materiell offensichtlich gewesen ( BGE 136 I 279 E. 1 S. 281).</w:t>
      </w:r>
    </w:p>
    <w:p>
      <w:r>
        <w:rPr>
          <w:b/>
        </w:rPr>
        <w:t>E. 2.3</w:t>
      </w:r>
    </w:p>
    <w:p>
      <w:r>
        <w:t>Der Verzicht der Vorinstanz auf eine mündliche öffentliche Verhandlung verletzt Art. 6 Ziff. 1 EMRK . Der angefochtenen Entscheid ist somit aufzuheben, ohne dass auf die materiellen Vorbringen der Parteien in ihren Rechtsschriften einzugehen wäre. Die Sache geht an die Vorinstanz zurück, damit sie eine öffentliche Verhandlung durchführe und danach über die Klage und die Widerklage neu entscheide.</w:t>
      </w:r>
    </w:p>
    <w:p>
      <w:r>
        <w:rPr>
          <w:b/>
        </w:rPr>
        <w:t>E. 3</w:t>
      </w:r>
    </w:p>
    <w:p>
      <w:r>
        <w:t>Mit dem Entscheid in der Sache ist die Frage der aufschiebenden Wirkung der Beschwerde gegenstandslos.</w:t>
      </w:r>
    </w:p>
    <w:p>
      <w:r>
        <w:rPr>
          <w:b/>
        </w:rPr>
        <w:t>E. 4</w:t>
      </w:r>
    </w:p>
    <w:p>
      <w:r>
        <w:t>Dem Prozessausgang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