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9C_854/2008 vom 17. Dezember 2008</w:t>
      </w:r>
    </w:p>
    <w:p>
      <w:r>
        <w:t>Bundesgericht, 2008-12-17, DE</w:t>
      </w:r>
    </w:p>
    <w:p>
      <w:r>
        <w:rPr>
          <w:b/>
        </w:rPr>
        <w:t xml:space="preserve">Quelle: </w:t>
      </w:r>
      <w:r>
        <w:t>https://mcp.opencaselaw.ch/entscheid/bger_9C_854_2008</w:t>
      </w:r>
    </w:p>
    <w:p>
      <w:r>
        <w:t>FR: TF 9C_854/2008 du 17 décembre 2008</w:t>
      </w:r>
    </w:p>
    <w:p>
      <w:r>
        <w:t>IT: TF 9C_854/2008 del 17 dicembre 2008</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Es kann diese Sachverhaltsfeststellung von Amtes wegen berichtigen oder ergänzen, wenn sie offensichtlich unrichtig ist oder auf einer Rechtsverletzung im Sinne von Art. 95 BGG beruht ( Art. 105 Abs. 2 BGG ).</w:t>
      </w:r>
    </w:p>
    <w:p>
      <w:r>
        <w:rPr>
          <w:b/>
        </w:rPr>
        <w:t>E. 2</w:t>
      </w:r>
    </w:p>
    <w:p>
      <w:r>
        <w:t>Streitig ist der Umfang des Anspruches der Beschwerdegegnerin auf eine Invalidenrente. Dabei steht nurmehr die erwerbliche Verwertbarkeit der gemäss MEDAS-Gutachten geschätzten Restarbeitsfähigkeit in Frage.</w:t>
      </w:r>
    </w:p>
    <w:p>
      <w:r>
        <w:rPr>
          <w:b/>
        </w:rPr>
        <w:t>E. 2.1</w:t>
      </w:r>
    </w:p>
    <w:p>
      <w:r>
        <w:t>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w:t>
      </w:r>
    </w:p>
    <w:p>
      <w:r>
        <w:t>Das kantonale Gericht hat zutreffend festgehalten, dass im Rahmen der Invaliditätsbemessung bei der Bestimmung des trotz gesundheitlicher Beeinträchtigung zumutbarerweise erzielbaren Einkommens nicht von realitätsfremden Einsatzmöglichkeiten ausgegangen werden darf. Insbesondere kann dort nicht von einer Arbeitsgelegenheit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vorneherein als ausgeschlossen erscheint (ZAK 1991 S. 318 E. 3b). Ferner ist die Vorinstanz vom zutreffenden Begriff des ausgeglichenen Arbeitsmarktes ( Art. 16 ATSG ) ausgegangen, wonach dieser nicht nur von seiner Struktur her einen Fächer verschiedenartiger Stellen offen hält, und zwar sowohl bezüglich der dafür verlangten beruflichen und intellektuellen Voraussetzungen wie auch hinsichtlich des körperlichen Einsatzes ( BGE 110 V 273 E. 4b S. 276; ZAK 1991 S. 318 E. 3b). Weder gestützt auf die Pflicht zur Selbsteingliederung noch im Rahmen der der versicherten Person auf einem ausgeglichenen Arbeitsmarkt offen stehenden Möglichkeiten der Verwertung ihrer Restarbeitsfähigkeit dürfen von ihr Vorkehren verlangt werden, die unter Berücksichtigung der gesamten objektiven und subjektiven Gegebenheiten des Einzelfalles nicht zumutbar sind (vgl. BGE 113 V 22 E. 4a S. 28 mit Hinweisen).</w:t>
      </w:r>
    </w:p>
    <w:p>
      <w:r>
        <w:rPr>
          <w:b/>
        </w:rPr>
        <w:t>E. 2.2</w:t>
      </w:r>
    </w:p>
    <w:p>
      <w:r>
        <w:t>Ausgehend von diesen zutreffenden Leitlinien hat das kantonale Gericht die wirtschaftliche Verwertbarkeit der verbliebenen Restarbeitsfähigkeit aufgrund folgender krankheitsbedingter Behinderungen verneint, für welche es sich auf das MEDAS-Gutachten vom 10. Oktober 2006 gestützt hat:</w:t>
      </w:r>
    </w:p>
    <w:p>
      <w:r>
        <w:t>- Beeinträchtigung der körperlichen Fähigkeiten durch gut sichtbare</w:t>
      </w:r>
    </w:p>
    <w:p>
      <w:r>
        <w:t>Gangataxien;</w:t>
      </w:r>
    </w:p>
    <w:p>
      <w:r>
        <w:t>- Schwäche der oberen und unteren Extremitäten und Unfähigkeit zu</w:t>
      </w:r>
    </w:p>
    <w:p>
      <w:r>
        <w:t>längerem Stehen und Gehen, Sitzen, Bücken und Tragen sowie</w:t>
      </w:r>
    </w:p>
    <w:p>
      <w:r>
        <w:t>Heben von Lasten;</w:t>
      </w:r>
    </w:p>
    <w:p>
      <w:r>
        <w:t>- keine grossen Anforderungen an die feinmotorischen und intellektuellen</w:t>
      </w:r>
    </w:p>
    <w:p>
      <w:r>
        <w:t>Fähigkeiten zufolge deutlicher kognitiver Beeinträchtigungen im Bereich</w:t>
      </w:r>
    </w:p>
    <w:p>
      <w:r>
        <w:t>von Aufmerksamkeit und Gedächtnis;</w:t>
      </w:r>
    </w:p>
    <w:p>
      <w:r>
        <w:t>- ängstlich-depressive Reaktion und affektive Beeinträchtigung;</w:t>
      </w:r>
    </w:p>
    <w:p>
      <w:r>
        <w:t>- rasche körperliche Ermüdung, erhöhte Erschöpfbarkeit und ständige</w:t>
      </w:r>
    </w:p>
    <w:p>
      <w:r>
        <w:t>Schmerzen;</w:t>
      </w:r>
    </w:p>
    <w:p>
      <w:r>
        <w:t>- Aufteilung der zumutbaren Arbeitszeit auf zwei Phasen von 2 - 2½ Stunden</w:t>
      </w:r>
    </w:p>
    <w:p>
      <w:r>
        <w:t>pro Tag;</w:t>
      </w:r>
    </w:p>
    <w:p>
      <w:r>
        <w:t>- Risiko der weiteren Verschlimmerung der Erkrankung.</w:t>
      </w:r>
    </w:p>
    <w:p>
      <w:r>
        <w:rPr>
          <w:b/>
        </w:rPr>
        <w:t>E. 3.1</w:t>
      </w:r>
    </w:p>
    <w:p>
      <w:r>
        <w:t>Die IV-Stelle wendet sich gegen die Annahme, die Beschwerdegegnerin könne ihre Restarbeitsfähigkeit nicht mehr verwerten und vertritt die Auffassung, die wirtschaftliche Verwertbarkeit der Restarbeitsfähigkeit auf dem ausgeglichenen Arbeitsmarkt stelle eine vom Bundesgericht frei überprüfbare Rechtsfrage dar. Dem kann nicht beigepflichtet werden.</w:t>
      </w:r>
    </w:p>
    <w:p>
      <w:r>
        <w:rPr>
          <w:b/>
        </w:rPr>
        <w:t>E. 3.2</w:t>
      </w:r>
    </w:p>
    <w:p>
      <w:r>
        <w:t>Die wirtschaftliche Verwertbarkeit der noch zumutbaren Restarbeitsfähigkeit auf dem als ausgeglichen gedachten Arbeitsmarkt bedeutet eine Einschätzung der Chancen der versicherten Person, trotz der im Einzelfall einzuhaltenden Restriktionen bezüglich Arbeitsplatz, Arbeitshaltung, Arbeitszeit und Art der Tätigkeit von einem durchschnittlichen Arbeitgeber noch angestellt zu werden. Es geht dabei um die konkrete Beurteilung der für die versicherte Person realistischerweise noch vorhandenen oder nicht mehr vorhandenen Arbeitsmarktchancen. Erfolgt die arbeitsmarktliche Chancenbeurteilung auf der Grundlage der im konkreten Einzelfall von einem potenziellen Arbeitgeber zu beachtenden Einschränkungen, handelt es sich dabei um eine Tatfrage. Anders verhält es sich nur, wenn sich das kantonale Sozialversicherungsgericht oder der Sozialversicherungsrichter hiefür auf einen aus der allgemeinen Lebenserfahrung gewonnenen Erfahrungssatz stützt, welchem allgemeine Geltung für gleichgelagerte Fälle und damit normativer Charakter zukommt (vgl. BGE 132 V 393 E. 3.2 S. 398 betreffend zumutbare Arbeit; Ulrich Meyer, N 35 zu Art. 105, in: Niggli/Uebersax/Wiprächtiger [Hrsg.], Basler Kommentar Bundesgerichtsgesetz, Basel 2008 [BSK BGG]).</w:t>
      </w:r>
    </w:p>
    <w:p>
      <w:r>
        <w:rPr>
          <w:b/>
        </w:rPr>
        <w:t>E. 3.3</w:t>
      </w:r>
    </w:p>
    <w:p>
      <w:r>
        <w:t>Das kantonale Gericht hat seinen Entscheid über die Verwertbarkeit der verbliebenen Restarbeitsfähigkeit konkret auf die multiplen krankheitsbedingten sachlichen und zeitlichen Limitierungen der Leistungsfähigkeit gestützt. Daraus zog die Vorinstanz den Schluss, die Beschwerdegegnerin könne nicht damit rechnen, dass ein (durchschnittlicher) Arbeitgeber sowohl auf alle bereits vorhandenen Beeinträchtigungen ihrer Leistungsfähigkeit Rücksicht als auch zusätzlich das Risiko einer weiteren Verschlimmerung ihrer Krankheit in Kauf nehmen würde. Diese Schlussfolgerungen sind tatsächlicher Natur und daher für das Bundesgericht verbindlich, ausser wenn sie offensichtlich unrichtig oder unvollständig sind, was hier nicht zutrifft. Von einer unvollständigen Tatsachenfeststellung, die nach Art. 105 Abs. 2 BGG eine Rechtsverletzung darstellt, könnte gesprochen werden, wenn die Vorinstanz bezüglich der Verwertbarkeit der Restarbeitsfähigkeit der Beschwerdegegnerin überhaupt keine Feststellungen getroffen hätte. Das ist nicht der Fall. Soweit die IV-Stelle den Sachverhaltsfeststellungen des kantonalen Gerichts davon abweichende eigene Sachbehauptungen bezüglich der Verwertbarkeit der Restarbeitsfähigkeit der Beschwerdegegnerin entgegensetzt, handelt es sich um unzulässige appellatorische Kritik am angefochtenen Entscheid ( Art. 105 BGG ; Urteil 9C_882/2007 vom 11. April 2008 E. 5.1.)</w:t>
      </w:r>
    </w:p>
    <w:p>
      <w:r>
        <w:rPr>
          <w:b/>
        </w:rPr>
        <w:t>E. 4</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