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849/2007 vom 22. Juli 2008</w:t>
      </w:r>
    </w:p>
    <w:p>
      <w:r>
        <w:t>Bundesgericht, 2008-07-22, FR</w:t>
      </w:r>
    </w:p>
    <w:p>
      <w:r>
        <w:rPr>
          <w:b/>
        </w:rPr>
        <w:t xml:space="preserve">Quelle: </w:t>
      </w:r>
      <w:r>
        <w:t>https://mcp.opencaselaw.ch/entscheid/bger_9C_849_2007</w:t>
      </w:r>
    </w:p>
    <w:p>
      <w:r>
        <w:t>FR: TF 9C 849/2007 du 22 juillet 2008</w:t>
      </w:r>
    </w:p>
    <w:p>
      <w:r>
        <w:t>IT: TF 9C 849/2007 del 22 luglio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a pour objet le point de savoir si l'invalidité du recourant s'est modifiée - de manière à influencer son droit à la rente - entre le 21 août 1995, date de la décision initiale par laquelle cette prestation lui a été accordée, et le 6 septembre 2005, date de la décision sur opposition litigieuse.</w:t>
      </w:r>
    </w:p>
    <w:p>
      <w:r>
        <w:rPr>
          <w:b/>
        </w:rPr>
        <w:t>E. 2.2</w:t>
      </w:r>
    </w:p>
    <w:p>
      <w:r>
        <w:t>Selon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3.1</w:t>
      </w:r>
    </w:p>
    <w:p>
      <w:r>
        <w:t>Le Tribunal administratif fédéral a constaté qu'en 1995, le droit du recourant à une rente entière de l'assurance-invalidité avait été reconnu en raison d'un status après polytraumatisme avec amputation au tiers inférieur de la cuisse du membre inférieur gauche et fractures des métacarpes, de douleurs chroniques au moignon en relation avec un oedème et des lésions cutanées intermittentes, ainsi que d'un état dépressif réactionnel probable.</w:t>
      </w:r>
    </w:p>
    <w:p>
      <w:r>
        <w:rPr>
          <w:b/>
        </w:rPr>
        <w:t>E. 3.2</w:t>
      </w:r>
    </w:p>
    <w:p>
      <w:r>
        <w:t>A l'appui de sa décision, le Tribunal administratif fédéral a considéré que l'état de santé du recourant avait évolué dans le bon sens, soit dans une mesure suffisante pour admettre une révision de la rente. Sur le plan psychique d'abord, le recourant avait suivi une thérapie psychologique durant quinze mois et, les années passant, pu accepter peu ou prou la fatalité qui l'avait accablé, à tout le moins s'en accommoder davantage. L'amélioration de l'état de santé psychique ressortait en outre distinctement du rapport d'expertise du docteur M.________, puisque ce médecin ne diagnostiquait qu'un trouble chronique de très faible intensité sans aucune autre psychopathologie. Sur le plan physique ensuite, la situation existant au jour de la décision sur opposition litigieuse n'était guère semblable à celle qui prévalait au jour de l'octroi de la rente. Alors que le recourant avait été mis en arrêt de travail pour tenter de traiter les séquelles de l'amputation (difficultés au niveau du moignon et douleurs fantômes) et qu'il souffrait d'un oedème et de lésions cutanées chroniques, la situation s'était stabilisée et n'était plus susceptible d'aggravation au jour de la décision litigieuse, ainsi que cela ressortait de l'expertise du professeur G.________. Les modifications dégénératives au niveau lombaire et les suites des fractures des métacarpes de la main gauche ne constituaient manifestement pas des affections invalidantes, ce que confirmaient les documents versés au dossier. Sur la base de ces constatations, le Tribunal administratif fédéral a considéré que l'état de santé du recourant s'était notablement amélioré durant les années qui avaient précédé la décision litigieuse.</w:t>
      </w:r>
    </w:p>
    <w:p>
      <w:r>
        <w:rPr>
          <w:b/>
        </w:rPr>
        <w:t>E. 4</w:t>
      </w:r>
    </w:p>
    <w:p>
      <w:r>
        <w:t>Les considérations développées par le recourant à l'appui de son recours en matière de droit public ne sont pas de nature à remettre en cause le résultat de la constatation des faits opérée par le Tribunal administratif fédéral et l'appréciation juridique qu'il a faite de la situation. En effet, le recourant ne tente nullement d'établir, par une argumentation précise et étayée, le caractère insoutenable du point de vue retenu par les premiers juges. Les critiques adressées à l'égard de l'appréciation des preuves sont en effet essentiellement de nature appellatoire et ne peuvent être examinées par le Tribunal fédéral dans le cadre de son pouvoir d'examen restreint. Faute d'étayer ses critiques par des éléments objectifs et convaincants, c'est en vain que le recourant allègue que les expertises ordonnées par l'office AI sont contestables et qu'elles procèdent uniquement d'une appréciation nouvelle de la situation médicale. De même, le reproche formulé à l'encontre des premiers juges d'avoir sciemment ignoré un certain nombre de documents susceptibles de remettre en cause les conclusions des expertises n'est pas fondé. On ne saurait considérer que les pièces mentionnées par le recourant sont pertinentes pour établir l'absence de modification sensible de son état de santé. En effet, soit les rapports concernés sont largement antérieurs à la procédure de révision en cause et ne sont par conséquent d'aucune valeur pour examiner la question litigieuse, soit ils sont trop sommaires pour mettre sérieusement en doute les considérations exhaustives des experts mandatés par l'office AI.</w:t>
      </w:r>
    </w:p>
    <w:p>
      <w:r>
        <w:rPr>
          <w:b/>
        </w:rPr>
        <w:t>E. 5.1</w:t>
      </w:r>
    </w:p>
    <w:p>
      <w:r>
        <w:t>Le recourant conteste par ailleurs qu'à son âge et compte tenu de la longue période d'inactivité, il puisse retrouver un emploi, de surcroît à temps partiel, sur le marché équilibré du travail.</w:t>
      </w:r>
    </w:p>
    <w:p>
      <w:r>
        <w:rPr>
          <w:b/>
        </w:rPr>
        <w:t>E. 5.2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consid. 3c p. 233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I 819/04 du 27 mai 2005, consid. 2.2; I 462/02 du 26 mai 2003, consid. 2.3; I 617/02 du 10 mars 2003, consid. 3.1; I 401/01 du 4 avril 2002, consid. 4c).</w:t>
      </w:r>
    </w:p>
    <w:p>
      <w:r>
        <w:rPr>
          <w:b/>
        </w:rPr>
        <w:t>E. 5.3</w:t>
      </w:r>
    </w:p>
    <w:p>
      <w:r>
        <w:t>Né en mai 1953, le recourant était âgé de 52 ans au moment où la décision sur opposition litigieuse a été rendue (6 septembre 2005), ce qui lui laissait plus de dix ans d'activité jusqu'à la survenance de l'âge de la retraite. Si l'âge actuel du recourant peut limiter dans une certaine mesure ses possibilités de retrouver un emploi, on ne saurait considérer qu'il rend cette perspective illusoire, même en tenant compte des restrictions induites par l'état de santé. Il est par conséquent raisonnablement exigible que le recourant reprenne une activité à temps partiel adaptée à son handicap, notamment dans le domaine dans lequel il était actif avant la survenance de son accident.</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