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9C_847/2019 vom 20. Januar 2020</w:t>
      </w:r>
    </w:p>
    <w:p>
      <w:r>
        <w:t>Bundesgericht, 2020-01-20, FR</w:t>
      </w:r>
    </w:p>
    <w:p>
      <w:r>
        <w:rPr>
          <w:b/>
        </w:rPr>
        <w:t xml:space="preserve">Quelle: </w:t>
      </w:r>
      <w:r>
        <w:t>https://mcp.opencaselaw.ch/entscheid/bger_9C_847_2019</w:t>
      </w:r>
    </w:p>
    <w:p>
      <w:r>
        <w:t>FR: TF 9C_847/2019 du 20 janvier 2020</w:t>
      </w:r>
    </w:p>
    <w:p>
      <w:r>
        <w:t>IT: TF 9C_847/2019 del 20 gennaio 2020</w:t>
      </w:r>
    </w:p>
    <w:p>
      <w:pPr>
        <w:pStyle w:val="Heading2"/>
      </w:pPr>
      <w:r>
        <w:t>Volltext</w:t>
      </w:r>
    </w:p>
    <w:p>
      <w:r>
        <w:t>Bundesgericht</w:t>
      </w:r>
    </w:p>
    <w:p>
      <w:r>
        <w:t>Tribunal fédéral</w:t>
      </w:r>
    </w:p>
    <w:p>
      <w:r>
        <w:t>Tribunale federale</w:t>
      </w:r>
    </w:p>
    <w:p>
      <w:r>
        <w:t>Tribunal federal</w:t>
      </w:r>
    </w:p>
    <w:p>
      <w:r>
        <w:t>9C_847/2019</w:t>
      </w:r>
    </w:p>
    <w:p>
      <w:r>
        <w:t>Arrêt du 20 janvier 2020</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Caisse cantonale neuchâteloise de compensation, Faubourg de l'Hôpital 28, 2000 Neuchâtel,</w:t>
      </w:r>
    </w:p>
    <w:p>
      <w:r>
        <w:t>intimée.</w:t>
      </w:r>
    </w:p>
    <w:p>
      <w:r>
        <w:t>Objet</w:t>
      </w:r>
    </w:p>
    <w:p>
      <w:r>
        <w:t>Assurance-vieillesse et survivants,</w:t>
      </w:r>
    </w:p>
    <w:p>
      <w:r>
        <w:t>recours contre le jugement du Tribunal cantonal de la République et canton de Neuchâtel, Cour de droit public, du 22 novembre 2019 (CDP.2019.180-AVS/amp).</w:t>
      </w:r>
    </w:p>
    <w:p>
      <w:r>
        <w:t>Vu :</w:t>
      </w:r>
    </w:p>
    <w:p>
      <w:r>
        <w:t>le recours interjeté par A.________ contre le jugement du Tribunal cantonal de la République et canton de Neuchâtel, Cour de droit public, du 22 novembre 2019,</w:t>
      </w:r>
    </w:p>
    <w:p>
      <w:r>
        <w:t>la lettre du 24 décembre 2019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que le recourant n'a pas réagi à la communication du Tribunal fédéral du 24 décembre 2019,</w:t>
      </w:r>
    </w:p>
    <w:p>
      <w:r>
        <w:t>que le recourant conteste devoir verser à l'intimée des intérêts moratoires afférents aux cotisations des années 2014 à 2017,</w:t>
      </w:r>
    </w:p>
    <w:p>
      <w:r>
        <w:t>que dans son argumentation, il n'expose toutefois pas en quoi les constatations des premiers juges seraient inexactes, au sens de l' art. 97 al. 1 LTF , ni en quoi l'acte attaqué serait contraire au droit dans la mesure où les intérêts moratoires ont été mis à sa charge en application de l' art. 26 LPGA ,</w:t>
      </w:r>
    </w:p>
    <w:p>
      <w:r>
        <w:t>qu'on rappellera (cf. consid. 2b p. 3 du jugement attaqué) que la question de sa bonne foi et celle du comportement de l'intimée, qu'il évoque, sont sans incidence sur l'obligation de payer des intérêts,</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le 20 janvier 2020</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