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9C_847/2017 vom 31. Mai 2018</w:t>
      </w:r>
    </w:p>
    <w:p>
      <w:r>
        <w:t>Bundesgericht, 2018-05-31, DE</w:t>
      </w:r>
    </w:p>
    <w:p>
      <w:r>
        <w:rPr>
          <w:b/>
        </w:rPr>
        <w:t xml:space="preserve">Quelle: </w:t>
      </w:r>
      <w:r>
        <w:t>https://mcp.opencaselaw.ch/entscheid/bger_9C_847_2017</w:t>
      </w:r>
    </w:p>
    <w:p>
      <w:r>
        <w:t>FR: TF 9C_847/2017 du 31 mai 2018</w:t>
      </w:r>
    </w:p>
    <w:p>
      <w:r>
        <w:t>IT: TF 9C_847/2017 del 31 maggio 2018</w:t>
      </w:r>
    </w:p>
    <w:p>
      <w:pPr>
        <w:pStyle w:val="Heading2"/>
      </w:pPr>
      <w:r>
        <w:t>Erwägungen</w:t>
      </w:r>
    </w:p>
    <w:p>
      <w:r>
        <w:rPr>
          <w:b/>
        </w:rPr>
        <w:t>E. 1.1</w:t>
      </w:r>
    </w:p>
    <w:p>
      <w:r>
        <w:t>Die Beschwerde richtet sich einzig gegen die Verneinung der Erlassungsvoraussetzungen durch die Vorinstanz bezüglich der Rentenbeträge ab 28. März 2016. Auf die Beschwerde gegen diesen Teilentscheid gemäss Art. 91 BGG (vgl. BGE 135 V 141 ) ist einzutreten.</w:t>
      </w:r>
    </w:p>
    <w:p>
      <w:r>
        <w:rPr>
          <w:b/>
        </w:rPr>
        <w:t>E. 1.2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Rechtsprechung zum guten Glauben als Erlassvoraussetzung gemäss Art. 25 Abs. 1 Satz 2 ATSG zutreffend wiedergegeben (Urteil 8C_243/2016 vom 7. Juli 2016 E. 4.1; siehe auch BGE 138 V 218 E. 4 S. 220). Richtig dargelegt hat sie auch, dass das Unterbleiben einer Auskunft entgegen gesetzlicher Vorschrift (vgl. Art. 27 ATSG ) oder obwohl sie nach den Umständen im Einzelfall geboten war, nach der Rechtsprechung ( BGE 131 V 472 E. 5 S. 480) einer unrichtigen Auskunft gleichgestellt ist. Darauf wird verwiesen.</w:t>
      </w:r>
    </w:p>
    <w:p>
      <w:r>
        <w:rPr>
          <w:b/>
        </w:rPr>
        <w:t>E. 2.2</w:t>
      </w:r>
    </w:p>
    <w:p>
      <w:r>
        <w:t>Was den Erlass betrifft, unterscheidet die Rechtsprechung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von der Vorinstanz nach Art. 105 Abs. 1 BGG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(SVR 2015 ALV Nr. 6 S. 16, 8C_670/2014 E. 3.3; Urteil 8C_243/2016 vom 7. Juli 2016 E. 4.2; vgl. BGE 122 V 221 E. 3 S. 223 mit Hinweisen).</w:t>
      </w:r>
    </w:p>
    <w:p>
      <w:r>
        <w:rPr>
          <w:b/>
        </w:rPr>
        <w:t>E. 3</w:t>
      </w:r>
    </w:p>
    <w:p>
      <w:r>
        <w:t>Streitig und zu prüfen ist, ob die Beschwerdeführerin sich nicht nur für den Zeitraum vor dem 27. März 2013 auf den guten Glauben berufen kann, wie die Vorinstanz angenommen hat, sondern ob sie die Invalidenrenten auch nach diesem Datum in gutem Glauben entgegengenommen hat, wie in der Beschwerde geltend gemacht wird.</w:t>
      </w:r>
    </w:p>
    <w:p>
      <w:r>
        <w:rPr>
          <w:b/>
        </w:rPr>
        <w:t>E. 4.1</w:t>
      </w:r>
    </w:p>
    <w:p>
      <w:r>
        <w:t>Das kantonale Gericht hat zu den Umständen, die einer Berufung auf den guten Glauben entgegenstehen, zunächst festgehalten, dass sein Entscheid, mit welchem die Invalidenrente aufgehoben wurde, vom 26. November 2014 datiert und vom Ehemann der Versicherten am 8. Dezember 2014 in Empfang genommen wurde. In Bezug auf die der Versicherten nach diesem Datum zugegangenen Rentenzahlungen sei der gute Glaube ohne weiteres zu verneinen. Bereits nach der Beschwerdeerhebung durch die Pensionskasse am 1. Februar 2013 habe der Leistungsanspruch gegenüber der Invalidenversicherung sodann nicht mehr als nachgewiesen im Sinne von Art. 19 Abs. 4 ATSG gelten können, und es sei deshalb auch für die Zeit danach von zu Unrecht erbrachten Leistungen auszugehen. Über die Beschwerde der Pensionskasse habe die Vorinstanz die Versicherte mit Verfügung vom 19. März 2013 (zugestellt am 28. März 2013) in Kenntnis gesetzt. Aus der behaupteten telefonischen Erkundigung und der von der IV-Stelle angeblich erhaltenen Auskunft, die Rente würde ihr auch weiterhin ausbezahlt werden, könne die Beschwerdeführerin des Weiteren nichts zu ihren Gunsten ableiten, da jeglicher Beweis für eine falsche Auskunft fehle.</w:t>
      </w:r>
    </w:p>
    <w:p>
      <w:r>
        <w:rPr>
          <w:b/>
        </w:rPr>
        <w:t>E. 4.2</w:t>
      </w:r>
    </w:p>
    <w:p>
      <w:r>
        <w:t>Die Versicherte wendet ein, sie habe aufgrund der Beschwerde der Pensionskasse Zweifel an der weiteren Auszahlung der Invalidenrente gehabt, weshalb sie sich an die IV-Stelle wandte. Diese habe ihr versichert, dass ihr die Rente zustehe. Dadurch seien ihre Bedenken zerstreut worden; es könne daher nicht von einem Unrechtsbewusstsein ausgegangen werden. Art. 27 Abs. 2 ATSG statuiere eine Beratungspflicht der Verwaltung. Im vorliegenden Fall hätte die IV-Stelle sie darauf aufmerksam machen müssen, dass aufgrund des offenen Gerichtsentscheids eine rückwirkende Aufhebung der Invalidenrente nicht ausgeschlossen sei und sich daraus Rückforderungen gegenüber der Beschwerdeführerin ergeben könnten. Indem sie ihrer Beratungspflicht nicht nachgekommen sei, habe die Verwaltung Bundesrecht verletzt. Die ungenügende Wahrnehmung der Beratungspflicht werde einer unrichtigen Auskunft gleichgestellt. Diese sei auch unter dem Gesichtswinkel des Grundsatzes von Treu und Glauben relevant, indem unter bestimmten Voraussetzungen eine vom materiellen Recht abweichende Behandlung der rechtsuchenden Person geboten sei.</w:t>
      </w:r>
    </w:p>
    <w:p>
      <w:r>
        <w:rPr>
          <w:b/>
        </w:rPr>
        <w:t>E. 5.1</w:t>
      </w:r>
    </w:p>
    <w:p>
      <w:r>
        <w:t>Wie die Vorinstanz zutreffend darlegt, hat sie am 19. März 2013 eine Verfügung erlassen, worin darauf hingewiesen wird, dass die Pensionskasse mit Eingabe vom 1. Februar 2013 Beschwerde gegen den Entscheid der IV-Stelle vom 21. Dezember 2012 erhoben und diese am 13. März 2013 die Beschwerdeantwort erstattet habe. Der Referent des Sozialversicherungsgerichts hat verfügt, dass die Versicherte zum Prozess beigeladen werde. Gleichzeitig wurden dieser die Eingaben der Pensionskasse und der IV-Stelle zugestellt, und es wurde ihr eine Frist von 30 Tagen zur schriftlichen Stellungnahme angesetzt. Diese gerichtliche Verfügung hat die Versicherte gemäss verbindlicher Feststellung des kantonalen Gerichts (E. 1 hievor) am 28. März 2013 entgegengenommen. Ab diesem Datum musste sich die Beschwerdeführerin darüber im Klaren sein, dass der Bestand ihres Invalidenrentenanspruchs gefährdet war und eine Rückforderung der IV-Stelle in Betracht fiel. Ab diesem Zeitpunkt war sie gemäss Feststellung der Vorinstanz nicht mehr gutgläubig. Die Behauptung, sich telefonisch bei der Verwaltung nach der weiteren Ausrichtung ihrer Rente erkundigt zu haben, ist nicht glaubhaft gemacht und schon gar nicht bewiesen, wie die IV-Stelle zutreffend einwendet. Im Übrigen ist eine nicht schriftlich belegte telefonische Auskunft zum Beweis von vornherein ohnehin kaum geeignet ( BGE 143 V 341 E. 5.3.1 S. 347 f.). Von einer Befragung der Mitarbeitenden der IV-Stelle zu dieser angeblichen Erkundigung der Beschwerdeführerin und der ihr erteilten telefonischen Auskunft, welche, falls tatsächlich erfolgt, bereits mehrere Jahre zurücklag, konnte die Vorinstanz keine neuen Erkenntnisse erwarten. Sie durfte daher in antizipierter Beweiswürdigung ( BGE 136 I 229 E. 5.3 S. 236 f.) auf eine Beweisabnahme verzichten. Darin kann entgegen den Ausführungen der Beschwerdeführerin keine Willkür erblickt werden. Eine nicht belegte telefonische Auskunft würde im Übrigen auch nicht für eine erfolgreiche Berufung auf den Vertrauensschutz genügen ( BGE 143 V 341 E. 5.3.1 S. 347 f.).</w:t>
      </w:r>
    </w:p>
    <w:p>
      <w:r>
        <w:rPr>
          <w:b/>
        </w:rPr>
        <w:t>E. 5.2</w:t>
      </w:r>
    </w:p>
    <w:p>
      <w:r>
        <w:t>Dass die Verwaltung verpflichtet gewesen wäre, von sich aus die Beschwerdeführerin über die möglichen Folgen der von der Pensionskasse eingereichten Beschwerde in Kenntnis zu setzen, wie die Versicherte unter Hinweis auf Art. 27 Abs. 2 ATSG geltend macht, trifft nicht zu. Gemäss Art. 27 Abs. 2 ATSG besteht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es, die betreffende Person in die Lage zu versetzen, sich so zu verhalten, dass eine den gesetzgeberischen Zielen des jeweiligen Erlasses entsprechende Rechtsfolge eintritt ( BGE 131 V 472 E. 4.3 S. 478). Von sich aus musste die IV-Stelle im vorliegenden Fall aufgrund des vorstehend wiedergegebenen Sachverhalts mit auch für Laien klar ersichtlicher Infragestellung der Rente durch die Beschwerde der Pensionskasse (E. 5.1 hievor) indessen keinen Abklärungsbedarf erkennen (vgl. SZS 2012 S. 445, 9C_787/2011 E. 5), sodass entgegen den Vorbringen in der Beschwerde nicht von einer pflichtwidrig unterlassenen Beratung die Rede sein kann. Nach der Einreichung der Beschwerde durch die Pensionskasse konnte die Beschwerdeführerin nicht auf die Rechtsbeständigkeit der noch nicht rechtskräftig festgestellten Anspruchsgrundlagen in gutem Glauben vertrauen. Die Vorinstanz hat den guten Glauben seit Entgegennahme der Verfügung am 28. März 2013 demnach zu Recht verneint.</w:t>
      </w:r>
    </w:p>
    <w:p>
      <w:r>
        <w:rPr>
          <w:b/>
        </w:rPr>
        <w:t>E. 6</w:t>
      </w:r>
    </w:p>
    <w:p>
      <w:r>
        <w:t>Dem Gesuch um unentgeltliche Prozessführung ist stattzugeben, da die gesetzlichen Voraussetzungen erfüllt sind ( Art. 64 Abs. 1 BGG ). Die Beschwerdeführerin wird indessen auf Art. 64 Abs. 4 BGG aufmerksam gemacht. Danach hat die Partei der Bundesgerichtskasse Ersatz zu leisten, wenn sie später dazu in der Lage ist.</w:t>
      </w:r>
    </w:p>
    <w:p>
      <w:r>
        <w:t>Hingegen kann dem Gesuch um unentgeltliche Verbeiständung nicht stattgegeben werden, da die Beschwerdeführerin nicht anwaltlich vertreten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