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9C_844/2019 vom 29. Januar 2020</w:t>
      </w:r>
    </w:p>
    <w:p>
      <w:r>
        <w:t>Bundesgericht, 2020-01-29, DE</w:t>
      </w:r>
    </w:p>
    <w:p>
      <w:r>
        <w:rPr>
          <w:b/>
        </w:rPr>
        <w:t xml:space="preserve">Quelle: </w:t>
      </w:r>
      <w:r>
        <w:t>https://mcp.opencaselaw.ch/entscheid/bger_9C_844_2019</w:t>
      </w:r>
    </w:p>
    <w:p>
      <w:r>
        <w:t>FR: TF 9C_844/2019 du 29 janvier 2020</w:t>
      </w:r>
    </w:p>
    <w:p>
      <w:r>
        <w:t>IT: TF 9C_844/2019 del 29 gennaio 2020</w:t>
      </w:r>
    </w:p>
    <w:p>
      <w:pPr>
        <w:pStyle w:val="Heading2"/>
      </w:pPr>
      <w:r>
        <w:t>Volltext</w:t>
      </w:r>
    </w:p>
    <w:p>
      <w:r>
        <w:t>Bundesgericht</w:t>
      </w:r>
    </w:p>
    <w:p>
      <w:r>
        <w:t>Tribunal fédéral</w:t>
      </w:r>
    </w:p>
    <w:p>
      <w:r>
        <w:t>Tribunale federale</w:t>
      </w:r>
    </w:p>
    <w:p>
      <w:r>
        <w:t>Tribunal federal</w:t>
      </w:r>
    </w:p>
    <w:p>
      <w:r>
        <w:t>9C_844/2019</w:t>
      </w:r>
    </w:p>
    <w:p>
      <w:r>
        <w:t>Urteil vom 29. Januar 2020</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CSS Versicherung AG, Recht &amp; Compliance, Tribschenstrasse 21, 6005 Luzern,</w:t>
      </w:r>
    </w:p>
    <w:p>
      <w:r>
        <w:t>Beschwerdegegnerin.</w:t>
      </w:r>
    </w:p>
    <w:p>
      <w:r>
        <w:t>Gegenstand</w:t>
      </w:r>
    </w:p>
    <w:p>
      <w:r>
        <w:t>Krankenversicherung (Prozessvoraussetzung),</w:t>
      </w:r>
    </w:p>
    <w:p>
      <w:r>
        <w:t>Beschwerde gegen den Entscheid des Versicherungsgerichts des Kantons Aargau vom 2. Dezember 2019 (VBE.2019.220).</w:t>
      </w:r>
    </w:p>
    <w:p>
      <w:r>
        <w:t>Nach Einsicht</w:t>
      </w:r>
    </w:p>
    <w:p>
      <w:r>
        <w:t>in die dem Bundesgericht weitergeleitete Beschwerde vom 9. Dezember 2019 (Poststempel) gegen den Entscheid des Versicherungsgerichts des Kantons Aargau vom 2. Dezember 2019 betreffend den Einspracheentscheid der CSS Versicherung AG vom 13. März 2019 (Nichteintreten auf die Einsprache gegen die Verfügung vom 4. Februar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Vorinstanz vorab - da Anfechtungsgegenstand einzig der die Einsprache zufolge fehlender Unterschrift inhaltlich nicht behandelnde Einspracheentscheid vom 13. März 2019 bildete - auf die Beschwerde nicht eingetreten ist, soweit damit materielle Anträge hinsichtlich der Aufhebung der Verfügung vom 4. Februar 2019 verbunden waren,</w:t>
      </w:r>
    </w:p>
    <w:p>
      <w:r>
        <w:t>dass das kantonale Gericht ferner die für das Einspracheverfahren geltenden Eintretensvoraussetzungen beschrieben und - in Abweisung der Beschwerde in diesem Punkt - erwogen hat, die Beschwerdegegnerin sei mangels persönlicher Unterschrift des Beschwerdeführers (vgl. Art. 10 Abs. 4 Satz 1 ATSV ) nicht gehalten gewesen, auf dessen Einsprache einzutreten,</w:t>
      </w:r>
    </w:p>
    <w:p>
      <w:r>
        <w:t>dass sich der Beschwerdeführer im Wesentlichen auf eine Wiederholung des bereits im vorinstanzlichen Beschwerdeverfahren Vorgebrachten beschränkt, wonach er nie eine Krankenversicherung bei der Beschwerdegegnerin abgeschlossen habe, sich jedoch mit keinem Wort zu den Erwägungen des kantonalen Gerichts äussert,</w:t>
      </w:r>
    </w:p>
    <w:p>
      <w:r>
        <w:t>dass seinen Ausführungen insbesondere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 Beschwerde den vorgenannten inhaltlichen Mindestanforderungen an ein Rechtsmittel somit offensichtlich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dass der Beschwerdeführer aber künftig mit Kosten zu rechnen haben wird, wenn er weiter in dieser Weise prozessiert, zumal er schon im Urteil 9C_112/2019 vom 28. Februar 2019 - mit Blick auf den gleichen Streitgegenstand (formell mangelhafte Einsprache zufolge fehlender Unterschrift) - auf die Anforderungen an eine gültige Beschwerde hingewiesen wurde,</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29. Januar 2020</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