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9C_844/2014 vom 10. Februar 2015</w:t>
      </w:r>
    </w:p>
    <w:p>
      <w:r>
        <w:t>Bundesgericht, 2015-02-10, DE</w:t>
      </w:r>
    </w:p>
    <w:p>
      <w:r>
        <w:rPr>
          <w:b/>
        </w:rPr>
        <w:t xml:space="preserve">Quelle: </w:t>
      </w:r>
      <w:r>
        <w:t>https://mcp.opencaselaw.ch/entscheid/bger_9C_844_2014</w:t>
      </w:r>
    </w:p>
    <w:p>
      <w:r>
        <w:t>FR: TF 9C_844/2014 du 10 février 2015</w:t>
      </w:r>
    </w:p>
    <w:p>
      <w:r>
        <w:t>IT: TF 9C_844/2014 del 10 febbraio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Kantonsgericht Basel-Landschaft, Abteilung Sozialversicherungsrecht, und dem Bundesamt für Sozialversicherungen schriftlich mitgeteilt.</w:t>
      </w:r>
    </w:p>
    <w:p>
      <w:r>
        <w:t>Luzern, 10. Februar 2015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Einzelrichter: Meyer</w:t>
      </w:r>
    </w:p>
    <w:p>
      <w:r>
        <w:t>Die Gerichtsschreiberin: Bollinger Hammerle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