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9C_843/2019 vom 3. September 2020</w:t>
      </w:r>
    </w:p>
    <w:p>
      <w:r>
        <w:t>Bundesgericht, 2020-09-03, FR</w:t>
      </w:r>
    </w:p>
    <w:p>
      <w:r>
        <w:rPr>
          <w:b/>
        </w:rPr>
        <w:t xml:space="preserve">Quelle: </w:t>
      </w:r>
      <w:r>
        <w:t>https://mcp.opencaselaw.ch/entscheid/bger_9C_843_2019</w:t>
      </w:r>
    </w:p>
    <w:p>
      <w:r>
        <w:t>FR: TF 9C_843/2019 du 3 septembre 2020</w:t>
      </w:r>
    </w:p>
    <w:p>
      <w:r>
        <w:t>IT: TF 9C_843/2019 del 3 settembre 2020</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le droit de la recourante à une rente d'invalidité. Il s'agit singulièrement de savoir si la recourante a droit à une rente entière d'invalidité dès le 28 janvier 2015, comme elle le prétend, ou à une demi-rente d'invalidité limitée dans le temps (du 1er juillet au 30 novembre 2015), comme l'a retenu la juridiction cantonale. A cet égard, le jugement entrepris expose les normes et la jurisprudence applicables, notamment celles relatives à la notion d'invalidité ( art. 8 al. 1 LPGA et 4 al. 1 LAI), à l'évaluation du caractère invalidant des affections psychiques ( ATF 143 V 418 ), au rôle des médecins ( ATF 132 V 93 consid. 4 p. 99; 125 V 256 consid. 4 p. 261), à la révision d'une rente ( art. 17 LPGA ; ATF 133 V 108 ; 125 V 413 consid. 2d p. 417) et à la valeur probante des rapports médicaux ( ATF 134 V 231 consid. 5.1 p. 232; 125 V 351 consid. 3 p. 352). Il suffit d'y renvoyer.</w:t>
      </w:r>
    </w:p>
    <w:p>
      <w:r>
        <w:rPr>
          <w:b/>
        </w:rPr>
        <w:t>E. 2.2</w:t>
      </w:r>
    </w:p>
    <w:p>
      <w:r>
        <w:t>Aux termes de l' art. 29 al. 1 LAI , le droit à la rente de l'assurance-invalidité prend naissance au plus tôt à l'échéance d'une période de six mois à compter de la date à laquelle l'assuré a fait valoir son droit aux prestations conformément à l' art. 29 al. 1 LPGA , mais pas avant le mois qui suit le 18ème anniversaire de l'assuré. Dès lors que la recourante a déposé sa demande de prestations le 28 janvier 2015, le droit à la rente n'a pris naissance que six mois plus tard, soit à compter du 1er juillet 2015 ( art. 29 al. 1 et al. 3 LAI ). Il n'y a dès lors pas lieu d'examiner plus avant la conclusion de la recourante - par ailleurs dépourvue de motivation - portant sur la reconnaissance du droit à une rente à une date antérieure au 1er juillet 2015.</w:t>
      </w:r>
    </w:p>
    <w:p>
      <w:r>
        <w:rPr>
          <w:b/>
        </w:rPr>
        <w:t>E. 3.1</w:t>
      </w:r>
    </w:p>
    <w:p>
      <w:r>
        <w:t>En se fondant sur les conclusions des docteurs C.________, D.________ et E.________, auxquelles elle a accordé une pleine valeur probante, la juridiction cantonale a retenu que la recourante présentait un taux d'invalidité de 56 % au 1er juillet 2015, puis de 13 % dès le 1er septembre 2015. Elle a retenu notamment que l'appréciation incomplète et peu convaincante de la psychiatre traitante ne remettait pas en question les conclusions des experts D.________ et E.________. Dès lors, la juridiction cantonale a considéré que l'assurée avait droit à une demi-rente d'invalidité du 1er juillet au 30 novembre 2015, soit trois mois après l'amélioration de son état de santé ( art. 88a al.1 RAI ).</w:t>
      </w:r>
    </w:p>
    <w:p>
      <w:r>
        <w:rPr>
          <w:b/>
        </w:rPr>
        <w:t>E. 3.2</w:t>
      </w:r>
    </w:p>
    <w:p>
      <w:r>
        <w:t>Invoquant une appréciation arbitraire des preuves, la recourante soutient tout d'abord que l'expertise psychiatrique de la doctoresse E.________ ne pouvait pas se voir reconnaître une pleine valeur probante. L'office AI avait en effet requis un complément d'information auprès de l'experte afin de s'assurer qu'elle avait effectivement fait part de ses conclusions à la psychiatre traitante. Or, dans son complément du 5 septembre 2018, l'experte avait indiqué qu'elle n'était pas certaine de l'identité de la personne avec qui elle s'était entretenue. Selon la recourante, le complément d'instruction avait dès lors renforcé les doutes quant à l'existence du contact téléphonique entre les deux psychiatres. La recourante fait ensuite valoir que la doctoresse E.________ n'avait pas discuté dans son expertise les conclusions pourtant radicalement différentes de la psychiatre traitante. L'experte n'avait de plus effectué aucun test psychologique ou de validation des plaintes, n'avait consacré qu'un peu plus de deux heures à l'examen clinique et n'avait pas pris toutes les mesures nécessaires pour établir si l'assurée consommait avec excès des médicaments.</w:t>
      </w:r>
    </w:p>
    <w:p>
      <w:r>
        <w:rPr>
          <w:b/>
        </w:rPr>
        <w:t>E. 4</w:t>
      </w:r>
    </w:p>
    <w:p>
      <w:r>
        <w:t>Les griefs que la recourante adresse à l'encontre des conclusions de l'expertise psychiatrique du 22 septembre 2017 suivies par la juridiction cantonale ne sont pas pertinents. La durée de l'examen - qui n'est pas en soi un critère de la valeur probante d'un rapport médical -, ne saurait tout d'abord remettre en question la valeur du travail de la doctoresse E.________, dont le rôle consistait à porter un jugement sur l'état de santé de la recourante dans un délai relativement bref (à ce sujet, voir arrêt 9C_87/2018 du 5 avril 2018 consid. 3.3 et les références). L'experte était également en principe libre de définir les examens cliniques qu'elle souhaitait pratiquer, de confronter ses observations cliniques avec celles des médecins traitants et de recourir aux tests complémentaires (psychométriques, sanguins, etc.) qu'elle jugeait nécessaires à la bonne exécution de son mandat.</w:t>
      </w:r>
    </w:p>
    <w:p>
      <w:r>
        <w:t>A ce propos, comme le rappelle la recourante, l'experte a souhaité prendre contact avec les docteurs B.________ et F.________ afin de les informer de ses conclusions. Si le docteur B.________ a confirmé cet appel téléphonique, la doctoresse F.________ l'a nié. Interrogée par l'office AI, l'experte a indiqué qu'elle avait demandé à parler spécifiquement à la doctoresse F.________ le 21 août 2017 et que son interlocutrice du Centre G.________, qui ne s'était pas présentée, lui avait dit suivre l'assurée à sa consultation. En réponse au point de vue de l'interlocutrice quant à l'ampleur des symptômes allégués par la patiente, elle lui avait fait part de ses conclusions en se référant notamment au cahier des charges d'un expert. Quoi qu'en pense la recourante, les conclusions de la doctoresse E.________ ne perdent pas leur pertinence du simple fait que la personne avec laquelle elle s'est entretenue n'était peut-être pas la psychiatre traitante. Il ressort des réponses de l'experte sur le déroulement de l'entretien téléphonique, que la recourante ne remet pas en cause, que son interlocutrice suivait cette dernière et connaissait bien sa situation.</w:t>
      </w:r>
    </w:p>
    <w:p>
      <w:r>
        <w:t>Par ailleurs, comme l'a retenu sans arbitraire la juridiction cantonale, la recourante ne démontre pas que les conclusions de la doctoresse E.________ seraient incomplètes au motif que l'experte n'aurait pas pris position sur l'avis de la psychiatre traitante. L'experte avait en effet connaissance du dossier complet de l'assurance-invalidité, y compris des avis des docteurs D.________ et B.________. Elle a examiné personnellement l'assurée afin de déterminer les répercussions sur la capacité de travail du trouble dépressif récurrent, épisode actuel sévère, mentionné par le docteur B.________. En se fondant sur ses propres constatations, elle a noté que la recherche de signes dépressifs était restée négative, malgré une certaine morosité affichée et l'allégation de souffrances à caractère subjectif. De la même manière, elle a constaté que l'anxiété annoncée par l'assurée à se rendre dans un lieu nouveau ou de se trouver en compagnie de personnes inconnues n'avait pas pu être reproduite. Elle a encore exclu d'autres atteintes psychiatriques à même d'amoindrir les ressources de l'assurée. Aussi, au terme de son examen clinique, elle a porté un jugement sans aucune réserve sur l'état de santé de la recourante, puis indiqué dans quelle mesure celle-ci était capable de travailler d'un point de vue psychique.</w:t>
      </w:r>
    </w:p>
    <w:p>
      <w:r>
        <w:t>Or la recourante ne prétend pas que la doctoresse F.________ aurait fait état au cours de la procédure administrative d'éléments objectivement vérifiables ignorés par l'experte et suffisamment pertinents pour justifier à tout le moins la mise en oeuvre par la doctoresse E.________ d'évaluations complémentaires (par exemple des tests psychologiques ou de validation de ses plaintes). Il est vrai que l'office AI a dans un premier temps souhaité s'assurer que l'experte avait informé la psychiatre traitante de ses conclusions et les raisons qui lui auraient permis de s'écarter de l'avis de celle-ci. La recourante ne démontre toutefois pas que la doctoresse E.________ aurait omis dans son expertise des éléments absolument nécessaires à une appréciation consciencieuse et objective de sa situation. Les premiers juges se sont dès lors fondés sans arbitraire sur les conclusions de l'expertise psychiatrique du 22 septembre 2017 pour retenir que la recourante disposait sur le plan psychique d'une capacité de travail complète dans une activité adaptée dès le 1er septembre 2015.</w:t>
      </w:r>
    </w:p>
    <w:p>
      <w:r>
        <w:rPr>
          <w:b/>
        </w:rPr>
        <w:t>E. 5</w:t>
      </w:r>
    </w:p>
    <w:p>
      <w:r>
        <w:t>Mal fondé, le recours doit être rejeté. Les frais judiciaires de la procédure fédérale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