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843/2013 vom 7. April 2014</w:t>
      </w:r>
    </w:p>
    <w:p>
      <w:r>
        <w:t>Bundesgericht, 2014-04-07, DE</w:t>
      </w:r>
    </w:p>
    <w:p>
      <w:r>
        <w:rPr>
          <w:b/>
        </w:rPr>
        <w:t xml:space="preserve">Quelle: </w:t>
      </w:r>
      <w:r>
        <w:t>https://mcp.opencaselaw.ch/entscheid/bger_9C_843_2013</w:t>
      </w:r>
    </w:p>
    <w:p>
      <w:r>
        <w:t>FR: TF 9C 843/2013 du 7 avril 2014</w:t>
      </w:r>
    </w:p>
    <w:p>
      <w:r>
        <w:t>IT: TF 9C 843/2013 del 7 aprile 2014</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auf eine Invalidenrente. Es besteht Einigkeit darüber, dass dem Beschwerdeführer aus rein somatischer Sicht die Ausübung einer leidensangepassten Arbeit zumutbar ist. Hinsichtlich der Frage, ob und in welchem Umfang er infolge eines geistigen Gesundheitsschadens massgeblich in der Erwerbsfähigkeit eingeschränkt sein könnte, gehen die fachärztlichen Beurteilungen auseinander. Das Gutachten des medizinischen Abklärungsinstituts Y.________ vom 25. Oktober 2011 mitsamt Erläuterung vom 15. Dezember 2011 geht aufgrund der psychiatrischen Einschränkungen überwiegend wahrscheinlich vom Bestehen einer vollen Arbeitsunfähigkeit in der angestammten Tätigkeit im Service und auch in körperlich adaptierten Tätigkeiten aus. Dagegen erachtet der Gutachter Dr. med. A.________ den Beschwerdeführer am 20. August 2012 in der angestammten oder einer Verweistätigkeit zu 80 % arbeitsfähig. Das medizinische Abklärungsinstitut Y.________ begründet seine Einschätzung vorab mit der Diagnose einer posttraumatischen Belastungsstörung (ICD-10 F43.1) und einer rezidivierenden depressiven Störung, gegenwärtig mittelgradige bis schwere Episode (ICD-10 F33.1/33.2). Dr. med. A.________ hingegen diagnostiziert mit Relevanz für die Arbeitsfähigkeit lediglich eine rezidivierende depressive Störung, gegenwärtig leichtgradige Episode (ICD-10 F33.0).</w:t>
      </w:r>
    </w:p>
    <w:p>
      <w:r>
        <w:rPr>
          <w:b/>
        </w:rPr>
        <w:t>E. 3.1</w:t>
      </w:r>
    </w:p>
    <w:p>
      <w:r>
        <w:t>Der Beschwerdeführer rügt, umstritten bleibe im Wesentlichen, ob er persönlich in lebensgefährliche Situationen geraten sei, die ein posttraumatisches Belastungssyndrom begründen könnten. Die Vorinstanz habe den Sachverhalt aktenwidrig und willkürlich festgestellt, wenn sie ihn gemäss dem Gutachten des Dr. med. A.________ übernommen habe. Es seien diverse Beweismittel eingereicht worden, die seine Vermutung widerlegten, der Beschwerdeführer kenne die Geschehnisse im Kosovo nur vom Hörensagen. Indem die Vorinstanz die aufgezeigten Widersprüche nicht einmal behandelt habe, habe sie das rechtliche Gehör verletzt. Der angefochtene Entscheid sei wegen der Verletzung von Art. 29 Abs. 2 BV aufzuheben.</w:t>
      </w:r>
    </w:p>
    <w:p>
      <w:r>
        <w:rPr>
          <w:b/>
        </w:rPr>
        <w:t>E. 3.2</w:t>
      </w:r>
    </w:p>
    <w:p>
      <w:r>
        <w:t>Der Beschwerdeführer spricht hier die im Rahmen der vorinstanzlichen Replik eingelegten Beweismittel an. Zum einen ist das die Bescheinigung der Gemeindeversammlung Q.________, dass der Bruder des Beschwerdeführers am 1. April 1999 von serbischen Kräften ermordet worden sei. Zum andern ist es der am 9. April 1999 ausgestellte albanische Flüchtlingsausweis des Beschwerdeführers. Des Weiteren reichte er eine Stellungnahme des behandelnden Arztes Dr. med. G.________ vom 5. Juli 2013 zum Gutachten des Dr. med. A.________ ein.</w:t>
      </w:r>
    </w:p>
    <w:p>
      <w:r>
        <w:rPr>
          <w:b/>
        </w:rPr>
        <w:t>E. 3.3</w:t>
      </w:r>
    </w:p>
    <w:p>
      <w:r>
        <w:t>Der Vorwurf einer Verletzung des rechtlichen Gehörs rechtfertigt sich nicht; denn die Bescheinigung der Gemeindeversammlung und der albanische Flüchtlingsausweis sind nicht geeignet, etwas vorliegend Relevantes zu beweisen. Warum auf Aussagen des behandelnden Arztes mit Zurückhaltung abzustellen ist, hat die Vorinstanz umfassend dargelegt. Der in diesem Zusammenhang erhobene Vorwurf einer falschen Rechtsanwendung ist unbegründet.</w:t>
      </w:r>
    </w:p>
    <w:p>
      <w:r>
        <w:rPr>
          <w:b/>
        </w:rPr>
        <w:t>E. 4.1</w:t>
      </w:r>
    </w:p>
    <w:p>
      <w:r>
        <w:t>Neben den beiden sich im Ergebnis diametral widersprechenden Gutachten des Dr. med. A.________ und des medizinischen Abklärungsinstituts Y.________ hat das Sozialversicherungsgericht auch auf das Gutachten der Klinik X.________ vom 25. April 2007 zurückgegriffen. Dieses sei zum Schluss gekommen, das Zustandsbild und die vorgebrachten Beschwerden seien mit keiner etablierten psychiatrischen Diagnose in genügender Weise in Übereinstimmung zu bringen. Mangels psychischer Störung entfalle folglich auch eine psychiatrisch bedingte Einschränkung der Arbeitsfähigkeit. Die Vorinstanz erwog, auch die Gutachter des medizinischen Abklärungsinstituts Y.________ hätten im Rahmen ihrer Exploration verschiedene Inkonsistenzen festgestellt und wiederholt festgehalten, die Beurteilung sei äusserst schwierig. Letztlich hätten sie jedoch die Aussagen des Beschwerdeführers als glaubhaft bewertet und konsequenterweise aufgrund der postulierten Schwere seines Leidens dessen Arbeitsfähigkeit als vollständig aufgehoben betrachtet. Dies vermöge nicht zu überzeugen, da der Einschätzung des behandelnden Psychiaters im Rahmen der Begutachtung ein zu grosses Gewicht eingeräumt worden sei. Die Würdigung der zentralen medizinischen Akten ergebe, dass die lege artis erfolgte Einschätzung des Dr. med. A.________ überwiegender wahrscheinlich den tatsächlichen Gesundheitszustand des Beschwerdeführers widerspiegle. Dr. med. A.________ lege schlüssig und nachvollziehbar dar, weshalb die rezidivierende depressive Störung nur leichtgradig ausgeprägt sei und setze sich eingehend mit der vom medizinischen Abklärungsinstitut Y.________ bejahten posttraumatischen Belastungsstörung auseinander. Weiter zeige er auf, dass der Beschwerdeführer über gesunde Ressourcen verfüge, die es ihm zumutbar machten, im Rahmen eines 80 %-Pensums einer leidensangepassten Arbeit nachzugehen.</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frei überprüfen kann ( Art. 106 Abs. 1 BGG ).</w:t>
      </w:r>
    </w:p>
    <w:p>
      <w:r>
        <w:rPr>
          <w:b/>
        </w:rPr>
        <w:t>E. 4.3</w:t>
      </w:r>
    </w:p>
    <w:p>
      <w:r>
        <w:t>Der Beschwerdeführer rügt, die Vorinstanz habe bei der gegebenen Ausgangslage das Gutachten der Klinik X.________ quasi als Obergutachten den Ausschlag geben lassen zwischen den später verfassten und sich widersprechenden Gutachten des medizinischen Abklärungsinstituts Y.________ und des Dr. med. A.________. Dies sei willkürlich. Richtigerweise hätte bereits die IV-Stelle das Gutachten der Klinik X.________ nicht berücksichtigen und nach dem überzeugenden Gutachten des medizinischen Abklärungsinstituts Y.________ kein Obergutachten mehr anordnen dürfen. Indem sie trotz Vorliegen eines aktuellen und den Anforderungen gut genügenden MEDAS-Gutachtens ein weiteres Gutachten angefordert habe, habe sie den Grundsatz verletzt, dass sie im Rahmen des Verwaltungsverfahrens zur Neutralität und Objektivität verpflichtet sei. Der Vorwurf sticht nicht. Die IV-Stelle ist zwar im Rahmen des Verwaltungsverfahrens zur Neutralität und Objektivität verpflichtet. Was vor der IV-Stelle stattfindet, ist indes ein Einparteienverfahren mit dem Leistungsgesuchssteller als Partei und der IV-Stelle als Behörde, welche nach den Grundsätzen des Amtsbetriebes die Herrschaft über das Verfahren innehat ( BGE 136 V 376 E. 4.2.2 S. 380 f. mit zahlreichen Hinweisen). Die IV-Stelle verletzte somit den Grundsatz zum neutralen und objektiven Vorgehen nicht, wenn sie zur Ergänzung der sachverhaltlichen Entscheidungsgrundlage ein zusätzliches Gutachten einholte, bevor sie neu verfügte.</w:t>
      </w:r>
    </w:p>
    <w:p>
      <w:r>
        <w:rPr>
          <w:b/>
        </w:rPr>
        <w:t>E. 4.4</w:t>
      </w:r>
    </w:p>
    <w:p>
      <w:r>
        <w:t>Was das Gutachten des Dr. med. A.________ anbelangt, ist auf Folgendes hinzuweisen: Begründete das medizinische Abklärungsinstitut Y.________ seine Einschätzung vorab mit der Diagnose einer posttraumatischen Belastungsstörung und einer rezidivierenden depressiven Störung, gegenwärtig mittelgradige bis schwere Episode, diagnostizierte Dr. med. A.________ mit Relevanz für die Arbeitsfähigkeit lediglich eine rezidivierende depressive Störung, gegenwärtig leichtgradige Episode. Wesentlich dafür war, dass er der Diagnose einer posttraumatischen Belastungsstörung nicht folgen konnte, da diese das Erleben bzw. Erleiden einer lebensbedrohlichen Katastrophe verlange, was jedoch aufgrund der Datenlage nicht der Fall gewesen sei. Dies ist jedoch gerade fraglich. Letztlich geht es darum, ob der Beschwerdeführer beweisen kann, dass er im Kosovokonflikt in Lebensgefahr geraten ist, indem er auf der Flucht von einer serbischen Patrouille aufgegriffen und einer Scheinhinrichtung unterzogen worden ist, und dass er miterlebt hat, wie Bekannte aus seinem Ort Opfer von Massentötungen und Massenvergewaltigung geworden sind (vorinstanzliche Replik vom 29. Juli 2013). In diesem für die Diagnostizierung einer posttraumatischen Belastungsstörung entscheidenden Punkt (vgl. zur Bedeutung wahrhaftiger anamnestischer Angaben in diesem Kontext Urteil 9C_953/2012 E. 3.2) ist der Sachverhalt unvollständig abgeklärt. Auf die Einschätzung der Arbeitsfähigkeit im Gutachten Dr. med. A.________ vom 20. August 2012 kann somit nicht abschliessend abgestellt werden, ebenso wenig auf die Beurteilung im Gutachten des medizinischen Abklärungsinstituts Y.________ vom 15. Dezember 2011, da auch diesbezüglich Zweifel bestehen. Der angefochtene Entscheid beruht mithin auf einem ungenügend abgeklärten Sachverhalt bzw. auf unvollständiger Beweisgrundlage, was Bundesrecht verletzt ( Art. 95 lit. a BGG ; Urteil 8C_234/2013 vom 9. Oktober 2013 E. 3). Die Vorinstanz wird ein Gerichtsgutachten einzuholen haben ( BGE 137 V 210 E. 4 S. 258 ff.) und danach neu entscheiden.</w:t>
      </w:r>
    </w:p>
    <w:p>
      <w:r>
        <w:rPr>
          <w:b/>
        </w:rPr>
        <w:t>E. 5</w:t>
      </w:r>
    </w:p>
    <w:p>
      <w:r>
        <w:t>Entsprechend dem Ausgang des Verfahrens sind die Gerichtskosten der Beschwerdegegnerin aufzuerlegen ( Art. 66 Abs. 1 BGG ). Der Beschwerdeführer hat Anspruch auf eine Parteientschädigung ( Art. 68 BGG ). Sein Gesuch um unentgeltliche Rechtspflege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