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9C_843/2009 vom 30. März 2010</w:t>
      </w:r>
    </w:p>
    <w:p>
      <w:r>
        <w:t>Bundesgericht, 2010-03-30, FR</w:t>
      </w:r>
    </w:p>
    <w:p>
      <w:r>
        <w:rPr>
          <w:b/>
        </w:rPr>
        <w:t xml:space="preserve">Quelle: </w:t>
      </w:r>
      <w:r>
        <w:t>https://mcp.opencaselaw.ch/entscheid/bger_9C_843_2009</w:t>
      </w:r>
    </w:p>
    <w:p>
      <w:r>
        <w:t>FR: TF 9C_843/2009 du 30 mars 2010</w:t>
      </w:r>
    </w:p>
    <w:p>
      <w:r>
        <w:t>IT: TF 9C_843/2009 del 30 marzo 2010</w:t>
      </w:r>
    </w:p>
    <w:p>
      <w:pPr>
        <w:pStyle w:val="Heading2"/>
      </w:pPr>
      <w:r>
        <w:t>Erwägungen</w:t>
      </w:r>
    </w:p>
    <w:p>
      <w:r>
        <w:rPr>
          <w:b/>
        </w:rPr>
        <w:t>E. 1</w:t>
      </w:r>
    </w:p>
    <w:p>
      <w:r>
        <w:t>Le recourant voit une violation de son droit d'être entendu garanti à l' art. 29 al. 2 Cst. , dans le fait que la juridiction cantonale a clôturé l'instruction de la procédure portant sur le droit à la rente d'invalidité sans lui donner préalablement l'occasion de s'exprimer sur la réponse de l'intimé du 16 juillet 2009. Dans ce courrier, celui-ci se référait par ailleurs à sa duplique du 25 juin précédent produite dans l'autre affaire, sur laquelle le recourant n'avait pas non plus été prié de se déterminer. P.________ se plaint également de n'avoir pas été invité à consulter les pièces du dossier produit par l'intimé et de n'avoir ainsi pas eu accès à une note d'entretien téléphonique datée du 23 juin 2009.</w:t>
      </w:r>
    </w:p>
    <w:p>
      <w:r>
        <w:rPr>
          <w:b/>
        </w:rPr>
        <w:t>E. 2.1</w:t>
      </w:r>
    </w:p>
    <w:p>
      <w:r>
        <w:t>La jurisprudence a déduit du droit d'être entendu, garanti à l' art. 29 al. 2 Cst. , celui pour le justiciable de s'expliquer avant qu'une décision soit prise à son détriment, celui de fournir des preuves quant aux faits de nature à influer sur le sort de la décision, celui d'avoir accès au dossier et celui de participer à l'administration des preuves, d'en prendre connaissance et de se déterminer à leur propos ( ATF 132 V 368 consid. 3.1 p. 370 et les références).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 ATF 133 I 98 consid. 2.1 p. 99, 100 consid. 4.3 - 4.6 p. 102 ss).</w:t>
      </w:r>
    </w:p>
    <w:p>
      <w:r>
        <w:t>Les exigences liées au droit à la réplique ne sont pas respectées lorsque le tribunal communique une prise de position (ou une pièce nouvelle) à une partie, mais lui signifie dans le même temps que l'échange d'écritures est terminé, privant ainsi la partie de toute possibilité de présenter ses observations (cf. ATF 132 I 42 consid. 3.3.2 p. 46 et les références citées). Que le tribunal, tout en annonçant la clôture de l'échange d'écritures, réserve néanmoins la possibilité d'actes d'instruction supplémentaires, n'a pas pour effet de sauvegarder le droit de réplique de la partie, quand bien même celle-ci serait assistée d'un avocat (cf. les arrêts de la Cour européenne des droits de l'homme dans les causes Contardi c./Suisse, du 12 juillet 2005, requête no 7020/02, par. 16, 23, 35 et 45 et Spang c./Suisse, du 11 octobre 2005, requête no 45228/99, par. 24 et 33, partiellement reproduits respectivement in: VPB 2005 no 131 p. 1582 et Plädoyer 2005/6 p. 82). Lorsque le droit de procédure applicable prévoit qu'il n'y a en principe qu'un seul échange d'écritures - comme c'est le cas devant le Tribunal fédéral (cf. art. 102 LTF ) -,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si elle s'en abstient, elle est censée y avoir renoncé après l'écoulement d'un délai raisonnable (cf. ATF 133 I 98 consid. 2.2 p. 99 s., 132 I 42 consid. 3.3.3 - 3.3.4 p. 46 sv. et les références citées; voir également les arrêts 2C_688/2007 du 11 février 2008 consid. 2.2 et 8C_408/2008 du 4 août 2008 consid. 4.1).</w:t>
      </w:r>
    </w:p>
    <w:p>
      <w:r>
        <w:rPr>
          <w:b/>
        </w:rPr>
        <w:t>E. 2.2</w:t>
      </w:r>
    </w:p>
    <w:p>
      <w:r>
        <w:t>En l'espèce, dans la procédure portant sur le droit de l'assuré à une rente d'invalidité, la juridiction cantonale a formellement clôturé l'instruction en même temps qu'elle communiquait au recourant la réponse de l'intimé du 16 juillet 2009. La procédure cantonale valaisanne prévoit notamment que "les réponses au recours sont portées à la connaissance du recourant" et que "l'autorité de recours invite les parties à un nouvel échange d'écritures, si elle le juge utile" (cf. art. 54 al. 2 et 55 première phrase de la loi cantonale du 6 octobre 1976 sur la procédure et la juridiction administratives [LPJA; RS-VS 172.6], en relation avec les art. 3 al. 1 du Règlement cantonal du 2 octobre 2001 régissant la procédure devant le Tribunal cantonal des assurances [RS-VS 173.400] et 61 LPGA). Le Tribunal cantonal n'était donc, dans le cas présent, pas tenu d'organiser un deuxième échange d'écritures, mais pouvait se contenter, conformément à la pratique du Tribunal fédéral (cf. ATF 133 I 98 , consid. 2.2 p. 100, 132 I 42 consid. 3.3.2 p. 47), de communiquer au recourant "pour information" la réponse de l'office AI; de même n'avait-il pas l'obligation d'informer expressément l'assuré de la possibilité de se déterminer sur cette réponse. Dès l'instant, cependant, où la juridiction cantonale déclarait simultanément à sa communication qu'elle mettait fin à l'instruction, elle privait le recourant de toute possibilité de présenter des observations. A cet égard, il importe peu, comme on l'a vu, que l'avis de clôture réservât en l'espèce "d'éventuels moyens de preuve encore administrés d'office".</w:t>
      </w:r>
    </w:p>
    <w:p>
      <w:r>
        <w:t>En ce qui concerne la procédure qui avait pour objet les mesures de reclassement professionnel, il ressort des pièces du dossier cantonal que l'autorité de recours de première instance n'a apparemment pas transmis au recourant la duplique de l'office AI du 25 juin 2006, au terme du second échange d'écritures. Par cette omission, elle empêchait là encore le recourant de s'exprimer, au besoin, sur la seconde détermination de l'intimé, puisqu'il n'en a pas eu connaissance, ne serait-ce que "pour information".</w:t>
      </w:r>
    </w:p>
    <w:p>
      <w:r>
        <w:rPr>
          <w:b/>
        </w:rPr>
        <w:t>E. 2.3</w:t>
      </w:r>
    </w:p>
    <w:p>
      <w:r>
        <w:t>Dans ces conditions, il s'impose de constater que la juridiction cantonale a violé le droit d'être entendu du recourant. Cette violation ne peut être réparée en instance fédérale compte tenu du pouvoir d'examen restreint du Tribunal fédéral dans un litige qui a trait au droit du recourant à des prestations de l'assurance-invalidité (cf. art. 95 à 97 et 105 LTF). Elle entraîne l'annulation du jugement entrepris, sans qu'il y ait lieu d'examiner les griefs du recourant sur le fond (cf. ATF 132 V 387 consid. 5.1 p. 390), et le renvoi de l'affaire au Tribunal cantonal pour nouvelle décision prise à l'issue d'une procédure respectant les garanties de l' art. 29 al. 2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