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9C_83/2007 vom 15. Januar 2008</w:t>
      </w:r>
    </w:p>
    <w:p>
      <w:r>
        <w:t>Bundesgericht, 2008-01-15, DE</w:t>
      </w:r>
    </w:p>
    <w:p>
      <w:r>
        <w:rPr>
          <w:b/>
        </w:rPr>
        <w:t xml:space="preserve">Quelle: </w:t>
      </w:r>
      <w:r>
        <w:t>https://mcp.opencaselaw.ch/entscheid/bger_9C_83_2007</w:t>
      </w:r>
    </w:p>
    <w:p>
      <w:r>
        <w:t>FR: TF 9C_83/2007 du 15 janvier 2008</w:t>
      </w:r>
    </w:p>
    <w:p>
      <w:r>
        <w:t>IT: TF 9C_83/2007 del 15 gennaio 2008</w:t>
      </w:r>
    </w:p>
    <w:p>
      <w:pPr>
        <w:pStyle w:val="Heading2"/>
      </w:pPr>
      <w:r>
        <w:t>Erwägungen</w:t>
      </w:r>
    </w:p>
    <w:p>
      <w:r>
        <w:rPr>
          <w:b/>
        </w:rPr>
        <w:t>E. 1</w:t>
      </w:r>
    </w:p>
    <w:p>
      <w:r>
        <w:t>Die gleichlautenden Beschwerden, die sich gegen den nämlichen Erlass richten, sind zu vereinigen. Entgegen dem in der Replik gestellten Antrag der Beschwerdeführer ist hingegen vornehmlich aus Gründen der Verfahrenssprache ( Art. 54 BGG ) auf eine Vereinigung mit der gegen dasselbe Gesetz erhobenen Beschwerde 9C_78/2007 zu verzichten.</w:t>
      </w:r>
    </w:p>
    <w:p>
      <w:r>
        <w:rPr>
          <w:b/>
        </w:rPr>
        <w:t>E. 2</w:t>
      </w:r>
    </w:p>
    <w:p>
      <w:r>
        <w:t>Am 1. Januar 2007 ist das Bundesgesetz vom 17. Juni 2005 über das Bundesgericht (BGG) in Kraft getreten. Es ist gemäss seinem Art. 132 Abs. 1 auf die nach seinem Inkrafttreten eingeleiteten Verfahren des Bundesgerichts anwendbar, auf ein Beschwerdeverfahren jedoch nur dann, wenn auch der angefochtene Entscheid nach dem Inkrafttreten des Gesetzes ergangen ist. Dies gilt analog für Beschwerden gegen Erlasse (Seiler/von Werdt/Güngerich, Kommentar zum Bundesgerichtsgesetz [BGG], Bern 2007, N 5 zu Art. 132). Untersteht ein Erlass dem Referendum, kann er nicht vor dem Ablauf der Referendumsfrist als rechtsverbindlich betrachtet werden (vgl. BGE 130 I 82 E. 1.2 S. 84 f.). Da die Referendumsfrist für das angefochtene Gesetz erst nach dem Inkrafttreten des BGG abgelaufen ist, ist dieses auf das vorliegende Verfahren anwendbar.</w:t>
      </w:r>
    </w:p>
    <w:p>
      <w:r>
        <w:rPr>
          <w:b/>
        </w:rPr>
        <w:t>E. 3.1</w:t>
      </w:r>
    </w:p>
    <w:p>
      <w:r>
        <w:t>Gegen kantonale Erlasse ist direkt die Beschwerde in öffentlich-rechtlichen Angelegenheiten an das Bundesgericht zulässig ( Art. 82 lit. b BGG ), sofern kein kantonales Rechtsmittel ergriffen werden kann ( Art. 87 BGG ).</w:t>
      </w:r>
    </w:p>
    <w:p>
      <w:r>
        <w:rPr>
          <w:b/>
        </w:rPr>
        <w:t>E. 3.2</w:t>
      </w:r>
    </w:p>
    <w:p>
      <w:r>
        <w:t>Gemäss Art. 61 Abs. 1 BVG bezeichnet jeder Kanton eine Behörde, welche die Vorsorgeeinrichtungen mit Sitz auf seinem Gebiet beaufsichtigt. Dieser bundesrechtlich vorgesehenen Aufsicht unterstehen nicht nur die privaten, sondern auch die öffentlich-rechtlichen Vorsorgeeinrichtungen (vgl. Art. 48 und Art. 50 Abs. 2 BVG ). Die Aufsichtsbehörde wacht darüber, dass die Vorsorgeeinrichtung die gesetzlichen Vorschriften einhält ( Art. 62 BVG ). Sie prüft insbesondere die Übereinstimmung der reglementarischen Bestimmungen mit den gesetzlichen Vorschriften ( Art. 62 Abs. 1 lit. a BVG ). Insoweit übernimmt die BVG-Aufsichtsbehörde auch die abstrakte Normenkontrolle von öffentlich-rechtlichen Erlassen, welche von den zuständigen legislativen oder exekutiven Behörden als reglementarische Vorschriften öffentlich-rechtlicher Vorsorgeeinrichtungen erlassen worden sind ( Art. 50 Abs. 2 BVG ; BGE 115 V 368 E. 2 S. 371, 112 Ia 180 E. 3c S. 187; Ulrich Meyer, Die Rechtswege nach dem Bundesgesetz über die berufliche Alters-, Hinterlassenen- und Invalidenvorsorge [BVG], ZSR 1987 I S. 601 ff., 619 f.; Hans J. Pfitzmann, Tätigkeit und Vorgehen der BVG-Aufsichtsbehörden, SZS 1987 S. 273 ff., 281; Hans-Ulrich Stauffer, Berufliche Vorsorge, Zürich 2005, S. 611, 639). Im Lichte dieser Rechtslage stellt sich die Frage, ob auf die direkt gegen das Gesetz erhobenen Beschwerden einzutreten ist oder ob nicht zunächst eine Beschwerde an die Aufsichtsbehörde zu ergreifen wäre.</w:t>
      </w:r>
    </w:p>
    <w:p>
      <w:r>
        <w:rPr>
          <w:b/>
        </w:rPr>
        <w:t>E. 3.3</w:t>
      </w:r>
    </w:p>
    <w:p>
      <w:r>
        <w:t>Das angefochtene Gesetz regelt in seinem 1. Kapitel den Bestand der beiden Vorsorgeeinrichtungen und zugleich die Umwandlung der bisher als Stiftung geführten VPSW in eine öffentlich-rechtliche Institution. Das 2. Kapitel sieht unter anderem eine Staatsgarantie für die reglementarischen Verpflichtungen der Kassen, die Übernahme eines Teils der Unterdeckung durch den Staat, die Bildung eines Spezialfonds zur Finanzierung dieser Übernahme sowie Zielvorgaben für den Deckungsgrad und dessen Einhaltung vor. Im 3. Kapitel normiert das Gesetz das Vorsorgesystem, und zwar das beitragspflichtige Gehalt (Art. 13), die Leistungsarten (Art. 14), das ordentliche Rücktrittsalter (Art. 15) und die Versicherungsjahre (Art. 16), die Beiträge der Arbeitgeber (Art. 17) und der Versicherten (Art. 18), die Beitragsnachzahlung (Art. 19) und die AHV-Überbrückungsrente (Art. 20). Das 4. Kapitel widmet sich der Organisation, Aufsicht und Kontrolle der Kassen. Im 5. Kapitel befinden sich die Übergangs- und Schlussbestimmungen, darunter Normen über die Aufkapitalisierung der VPSW (Art. 31), die Kompetenz des Staatsrates zum Erlass vorübergehender Bestimmungen für die Tätigkeit der Kassen (Art. 32), eine Übergangsregelung für die Erhöhung des ordentlichen Rücktrittsalters und die Änderung betreffend AHV-Überbrückungsrente (Art. 34), die Anpassung der Renten an die Teuerung (Art. 36) sowie den Auftrag an die Kassen, Synergien zu nutzen, eine Fusion und den Übergang vom Leistungs- zum Beitragsprimat zu prüfen (Art. 37-39), ferner Massnahmen zur Bewältigung der finanziellen Situation (Art. 40 und 41) und eine Garantie der wohlerworbenen Rechte (Art. 42).</w:t>
      </w:r>
    </w:p>
    <w:p>
      <w:r>
        <w:t>Das Gesetz enthält somit einerseits (Grundsatz-)Regelungen über die Leistungen und die Beiträge, was typischer Inhalt der Vorsorgereglemente bildet ( Art. 50 Abs. 1 BVG ), welche der Kontrolle der BVG-Aufsichtsbehörde unterstehen. Andererseits regelt es aber auch den Grundsatz, dass überhaupt öffentlich-rechtliche Vorsorgeeinrichtungen bestehen, was sich originär aus der kantonalen Souveränität ( Art. 3 BV ) ableitet und durch das BVG nicht geregelt, sondern nur anerkannt wird ( Art. 48 Abs. 2 BVG ). Sodann enthält es Regelungen über die finanziellen Leistungen des Staates (namentlich eine Staatsgarantie und staatliche Leistungen zur Aufkapitalisierung) sowie deren finanzrechtliche Behandlung. Diese Leistungen gehen insofern über die vom Kanton nach Art. 66 BVG als Arbeitgeber geschuldeten Beiträge hinaus, als die Kassen nicht nur das Personal des Kantons, sondern auch dasjenige der angeschlossenen Institutionen versichern. Die entsprechenden Regeln betreffen somit den Kanton nicht (nur) als Arbeitgeber, sondern auch als hoheitlich und finanzpolitisch handelnden Staat. Sie beruhen insoweit nicht auf dem BVG, sondern auf einem autonomen Entscheid des kantonalen Gesetzgebers.</w:t>
      </w:r>
    </w:p>
    <w:p>
      <w:r>
        <w:rPr>
          <w:b/>
        </w:rPr>
        <w:t>E. 3.4</w:t>
      </w:r>
    </w:p>
    <w:p>
      <w:r>
        <w:t>Die Tragweite der BVG-Aufsicht ist im Zusammenhang mit den möglichen Massnahmen zu sehen, welche die Aufsichtsbehörde zur Behebung von Mängeln anordnen kann ( Art. 62 Abs. 1 lit. d BVG ). Die Aufsichtsbehörde kann mit den gesetzlichen Vorschriften nicht übereinstimmende Reglemente oder Teile davon aufheben bzw. deren Nichtanwendbarkeit feststellen und den Vorsorgeeinrichtungen verbindliche Weisungen über die Ausgestaltung entsprechender Bestimmungen erteilen. Dabei hat sie nicht nur zu untersuchen, ob die Reglemente mit dem BVG und den entsprechenden Ausführungsbestimmungen übereinstimmen, sondern ob dies in Bezug auf die gesetzlichen Vorschriften allgemein der Fall ist ( BGE 112 Ia 180 E. 3b S. 186 f.). Sie kann indessen nur Massnahmen anordnen, die ihre Grundlage im BVG haben (vgl. Hans J. Pfitzmann, Die öffentlich-rechtlichen Pensionskassen im BVG-Obligatorium, SZS 1985 S. 233 ff., 237). Sie kann beispielsweise zwar - als Voraussetzung für die Abweichung vom Grundsatz der Bilanzierung in geschlossener Kasse - prüfen, ob eine genügende Staatsgarantie vorliegt ( Art. 45 BVV 2 ), aber sie kann nicht den Kanton zur Leistung einer Staatsgarantie oder anderer gesetzlich nicht vorgeschriebener Leistungen verpflichten. Solche Leistungen müssen vielmehr in einem kompetenzgemäss erlassenen staatlichen Gesetz vorgesehen sein (Hans-Rudolf Schwarzenbach, Die Sonderregelung der Beamtenversicherungskassen im BVG, SZS 1986 S. 224 ff., 235). Erst wenn sich aus einem formellen kantonalen Gesetz eine solche Garantie ergibt, kann allenfalls die BVG-Aufsicht überprüfen, ob diese Garantie dem Gesetz entspricht (vgl. Urteil 2A.228/2005 vom 23. November 2005). Indem das angefochtene Gesetz solche staatlichen Leistungen nicht nur voraussetzt, sondern selber regelt, geht es über den möglichen Inhalt von Reglementsbestimmungen im Sinne von Art. 50 BVG hinaus; insoweit unterliegt es nicht der Kontrolle der BVG-Aufsichtsbehörden, so dass die in Art. 62 und 74 BVG vorgesehene Zuständigkeitsregelung nicht greift. Die direkte Beschwerde an das Bundesgericht ist daher zulässig (vgl. auch SJ 2001 I S. 413, 1P.23/2000, wo das Bundesgericht auf eine direkte staatsrechtliche Beschwerde gegen ein Gesetz, welches die berufliche Vorsorge der Walliser Magistraten neu regelte, ohne weiteres eintrat). Aufgrund des unlösbar engen Sachzusammenhangs zwischen den finanziellen Leistungen des Staates einerseits sowie dem angestrebten Deckungsgrad und den Leistungen der Kasse andererseits, rechtfertigt es sich, nicht nur bezüglich einzelner Teile, sondern vollumfänglich auf die Beschwerde einzutreten, zumal auch der Entscheid der Aufsichtsbehörde letztinstanzlich wiederum durch das Bundesgericht zu überprüfen wäre.</w:t>
      </w:r>
    </w:p>
    <w:p>
      <w:r>
        <w:rPr>
          <w:b/>
        </w:rPr>
        <w:t>E. 3.5</w:t>
      </w:r>
    </w:p>
    <w:p>
      <w:r>
        <w:t>Für die gleichzeitig erhobenen subsidiären Verfassungsbeschwerden bleibt damit kein Raum ( Art. 113 BGG ).</w:t>
      </w:r>
    </w:p>
    <w:p>
      <w:r>
        <w:rPr>
          <w:b/>
        </w:rPr>
        <w:t>E. 4</w:t>
      </w:r>
    </w:p>
    <w:p>
      <w:r>
        <w:t>Die Beschwerdeführer sind als Versicherte der VPSW zur Beschwerde legitimiert ( Art. 89 Abs. 1 BGG ).</w:t>
      </w:r>
    </w:p>
    <w:p>
      <w:r>
        <w:rPr>
          <w:b/>
        </w:rPr>
        <w:t>E. 5.1</w:t>
      </w:r>
    </w:p>
    <w:p>
      <w:r>
        <w:t>Umstritten ist hauptsächlich die Erhöhung des Pensionsalters. Die VPSW kannte bisher drei Kategorien von Versicherten. Für die Kategorie 1 (unter welche die Mehrheit des Staatspersonals fiel) betrug das ordentliche Pensionierungsalter 62 Jahre, für die Kategorie 2 (Berufsschullehrer) 60 Jahre und für die Kategorie 3 (Personal der Strafanstalten und der Kantonspolizei) 58 Jahre. Für die Magistraten der Justiz und der Staatsanwaltschaft (Kategorien 4 und 5) ist die Vorsorge spezialgesetzlich geregelt (Gesetz über die berufliche Vorsorge der Magistraten der Exekutive, der Justiz und der Staatsanwaltschaft vom 23. Juni 1999, SGS/VS 172.13; Verordnung über die berufliche Vorsorge der Magistraten der Exekutive, der Justiz und der Staatsanwaltschaft vom 13. Oktober 1999, SGS/VS 172.130); das ordentliche Pensionierungsalter betrug für dieselben ausser die Strafuntersuchungs- und Jugendrichter (Kategorie 4) grundsätzlich 62 Jahre, für Letztere (Kategorie 5) 60 Jahre. Ebenso konnten die in der RVKL versicherten Lehrkräfte bisher mit 60 Jahren in den Ruhestand treten. Mit dem angefochtenen Gesetz wird das ordentliche Rücktrittsalter für alle Versicherten auf 62 Jahre festgelegt, mit Ausnahme des Personals der Strafanstalten und der Kantonspolizei (Kategorie 3 der VPSW) sowie der Strafuntersuchungs- und der Jugendrichter (Kategorie 5 der VPSW), deren Rücktrittsalter auf 60 Jahre festgelegt wird (Art. 15 Abs. 1 GVE). Somit wird mit dem neuen Gesetz das Pensionierungsalter für die Lehrkräfte der RVKL sowie für die Kategorie 2 der VPSW von 60 auf 62 und für die Kategorie 3 der VPSW von 58 auf 60 erhöht; für die übrigen Kategorien bleibt das Pensionierungsalter unverändert. Die Beschwerdeführer erachten diese neue Regelung unter verschiedenen Titeln als rechtswidrig.</w:t>
      </w:r>
    </w:p>
    <w:p>
      <w:r>
        <w:rPr>
          <w:b/>
        </w:rPr>
        <w:t>E. 5.2</w:t>
      </w:r>
    </w:p>
    <w:p>
      <w:r>
        <w:t>Das Bundesgericht wendet das Recht grundsätzlich von Amtes wegen an ( Art. 106 Abs. 1 BGG ). Die Verletzung von Grundrechten sowie von kantonalem und interkantonalem Recht prüft es indessen nur insofern, als eine solche Rüge in der Beschwerde vorgebracht und begründet worden ist ( Art. 106 Abs. 2 BGG ). Es gilt insofern eine besondere Rügepflicht, wie sie gestützt auf Art. 90 Abs. 1 lit. b OG für die staatsrechtliche Beschwerde gegolten hat ( BGE 133 IV 286 E. 1.4 S. 287; 133 II 249 E. 1.4.2 S. 254; Urteil 5A_433/2007 vom 18. September 2007, E. 2; Seiler/von Werdt/Güngerich, a.a.O., N 10 zu Art. 106). Soweit die Beschwerdeführer die Verletzung von Grundrechten rügen, ist auf die Rechtsmittel nur einzutreten, sofern diese entsprechende Begründungen enthalten.</w:t>
      </w:r>
    </w:p>
    <w:p>
      <w:r>
        <w:rPr>
          <w:b/>
        </w:rPr>
        <w:t>E. 5.3</w:t>
      </w:r>
    </w:p>
    <w:p>
      <w:r>
        <w:t>Des Weitern ist es nicht Sache des Bundesgerichts, die politische Zweckmässigkeit des angefochtenen Gesetzes zu beurteilen. Die blosse Argumentation, andere Lösungen wären auch möglich oder vorzuziehen gewesen oder andere Kantone kennten grosszügigere Regelungen, kann nicht zur Aufhebung des angefochtenen Gesetzes führen. Das gilt namentlich auch, soweit die Beschwerdeführer die Notwendigkeit oder den Zeitpunkt der (angestrebten) Erhöhung des Deckungsgrads bestreiten mit dem Argument, früher sei ein tieferer Deckungsgrad vom Gesetzgeber bewusst akzeptiert worden. Das Bundesrecht erlaubt den öffentlich-rechtlichen Vorsorgeeinrichtungen einen Deckungsgrad von weniger als 100 %, sofern eine Staatsgarantie vorliegt ( Art. 69 Abs. 2 BVG ; Art. 45 Abs. 1 BVV 2 ), schreibt den Kantonen aber keine solche vor. Es obliegt damit dem gesetzgeberischen Ermessen des Kantons, ob und unter welchen Umständen er für seine öffentlich-rechtlichen Vorsorgeeinrichtungen eine Garantie übernehmen will. Ein einmal getroffener gesetzgeberischer Entscheid kann in den verfassungsmässigen Schranken auch wieder geändert werden, und zwar nicht nur bei veränderten sachlichen Umständen, sondern auch bei neuer politischer Würdigung unveränderter Umstände (vgl. Pra 1998 Nr. 31 S. 227 E. 4, 2P.27/1997, 1997 Nr. 1 S. 1 E. 3a und c, 2P.276/1995; URP 2000 S. 324 E. 3c, 1A.208/1999; spezifisch in Bezug auf öffentlich-rechtliche Vorsorgeregelungen: SJ 2001 I S. 413 E. 5a, 1P.23/2000; Urteil 2A.398/2002 vom 9. Januar 2003, E. 4.3.1). Dass früher ein tieferer Deckungsgrad akzeptiert oder grosszügigere Leistungen vorgesehen wurden, ist kein rechtliches Argument gegen das jetzige gesetzgeberische Ziel, den Deckungsgrad zu erhöhen, oder gegen die zu diesem Zweck vorgesehenen Massnahmen, ebenso wenig der Umstand, dass die Versicherten bereits bei früheren Sanierungsschritten Verschlechterungen hinnehmen mussten.</w:t>
      </w:r>
    </w:p>
    <w:p>
      <w:r>
        <w:rPr>
          <w:b/>
        </w:rPr>
        <w:t>E. 6.1</w:t>
      </w:r>
    </w:p>
    <w:p>
      <w:r>
        <w:t>Die Beschwerdeführer bringen vor, viele privat- und öffentlich-rechtliche Bestimmungen des Bundesrechts würden verletzt. Sie rügen damit eine Verletzung der derogatorischen Kraft des Bundesrechts ( Art. 49 Abs. 1 BV ), welche Grundrechtscharakter hat ( BGE 131 I 198 E. 2.3 S. 201, 130 I 82 E. 2.2 S. 86 f.), weshalb insofern die qualifizierte Rügepflicht gilt (E. 5.2; BGE 5A_433/2007 vom 18. September 2007, E. 2). Die Beschwerden beschränken sich jedoch weitgehend darauf, einzelne Artikel von Bundesgesetzen (ZGB, OR, BVG, FZG, FusG) aufzuzählen, ohne darzulegen, inwiefern das angefochtene Gesetz gegen diese Bestimmungen verstossen soll. Dies genügt der Rügepflicht nicht. Auf die Beschwerden ist somit in Bezug auf die angebliche Verletzung von Bundesrecht nur einzutreten, soweit sie nähere Begründungen enthalten, die im Folgenden geprüft werden.</w:t>
      </w:r>
    </w:p>
    <w:p>
      <w:r>
        <w:rPr>
          <w:b/>
        </w:rPr>
        <w:t>E. 6.2</w:t>
      </w:r>
    </w:p>
    <w:p>
      <w:r>
        <w:t>Die Beschwerdeführer ziehen in Zweifel, ob die im Gesetz vorgesehene Umwandlung der bisherigen privatrechtlichen Stiftung VPSW in ein Institut des öffentlichen Rechts mit den Bestimmungen des Bundesgesetzes über Fusion, Spaltung, Umwandlung und Vermögensübertragung vom 3. Oktober 2003 (FusG; SR 221.301) vereinbar sei. Ob damit eine hinreichende Beschwerdebegründung vorliegt, ist fraglich, kann aber offenbleiben, da sich die Rüge ohnehin als unbegründet erweist.</w:t>
      </w:r>
    </w:p>
    <w:p>
      <w:r>
        <w:rPr>
          <w:b/>
        </w:rPr>
        <w:t>E. 6.2.1</w:t>
      </w:r>
    </w:p>
    <w:p>
      <w:r>
        <w:t>Das FusG regelt gemäss seinem Art. 1 Abs. 1 die Anpassung der rechtlichen Strukturen von Kapitalgesellschaften, Kollektiv- und Kommanditgesellschaften, Genossenschaften, Vereinen, Stiftungen und Einzelfirmen im Zusammenhang mit Fusionen, Spaltungen, Umwandlungen und Vermögensübertragungen. Ferner legt es gemäss seinem Art. 1 Abs. 3 die privatrechtlichen Voraussetzungen fest, unter welchen Institute des öffentlichen Rechts mit privatrechtlichen Rechtsträgern fusionieren, sich in privatrechtliche Rechtsträger umwandeln oder sich an Vermögensübertragungen beteiligen können. Das 4. Kapitel ( Art. 53-68 FusG ) regelt die Umwandlung von Gesellschaften, nicht aber von Stiftungen. Das 6. Kapitel ( Art. 78-87 FusG ) enthält Bestimmungen über die Fusion und Vermögensübernahme von Stiftungen, nicht aber über die Umwandlung. Das 7. Kapitel ( Art. 88-98 FusG ) beinhaltet besondere Vorschriften über die Fusion, Umwandlung und Vermögensübertragung von Vorsorgeeinrichtungen im Sinne des BVG (vgl. Art. 2 lit. i FusG ). Gemäss Art. 97 Abs. 1 FusG können sich Vorsorgeeinrichtungen in eine Stiftung oder in eine Genossenschaft umwandeln. Die Umwandlung einer Stiftung in ein Institut des öffentlichen Rechts ist im FusG nicht vorgesehen.</w:t>
      </w:r>
    </w:p>
    <w:p>
      <w:r>
        <w:rPr>
          <w:b/>
        </w:rPr>
        <w:t>E. 6.2.2</w:t>
      </w:r>
    </w:p>
    <w:p>
      <w:r>
        <w:t>Die bundesrätliche Botschaft zum Fusionsgesetz vom 13. Juni 2000 führt dazu aus, die Umwandlung einer Stiftung (oder Genossenschaft) in ein Institut des öffentlichen Rechts sei nicht möglich; für entsprechende Restrukturierungen stehe indessen die Vermögensübertragung ( Art. 98 FusG ) zur Verfügung (BBl 2000 4337 ff., S. 4479). Diese Auffassung wird auch in der Literatur unter Berufung auf diese Stelle in der Botschaft vertreten (Hans Michael Riemer, Vorsorgeeinrichtungen und Fusionsgesetz, SZS 2004 S. 139 ff., 144; Jacques-André Schneider, in: Peter/Trigo Trindade, Commentaire LFus, Genf 2005, N 4 zu Art. 97; Ueli Huber, in: Watter/Vogt/Tschäni/Daeniker [Hrsg.], Basler Kommentar zum Fusionsgesetz, Basel 2005, N 4 zu Art. 97; Stauffer, a.a.O., S. 496 Rz. 1320; Hans Caspar von der Crone et al., Das Fusionsgesetz, Zürich 2004, S. 291 Rz. 750 und Fn. 90).</w:t>
      </w:r>
    </w:p>
    <w:p>
      <w:r>
        <w:rPr>
          <w:b/>
        </w:rPr>
        <w:t>E. 6.2.3</w:t>
      </w:r>
    </w:p>
    <w:p>
      <w:r>
        <w:t>Die im FusG enthaltene Aufzählung der möglichen Umwandlungen ist zwar abschliessend (BBl 2000 4446; von der Crone et al., a.a.O., S. 271 Rz. 699), dies jedoch nur innerhalb seines Geltungsbereichs. Fällt ein Tatbestand nicht in den Geltungsbereich des FusG, ist er deswegen nicht unzulässig. Vielmehr beurteilt sich seine Zulässigkeit nach den dafür geltenden gesetzlichen Grundlagen. Das FusG stützt sich auf Art. 122 Abs. 1 BV und regelt dementsprechend privatrechtliche Verhältnisse (vgl. BGE 132 III 470 E. 4.2 S. 477 f. sowie E. 5.2 S. 479; Reto T. Schumacher, Die Vermögensübertragung nach dem Fusionsgesetz, Diss. Zürich 2005, S. 221). In seinen Geltungsbereich fällt gemäss Art. 1 Abs. 3 FusG zwar die Umwandlung öffentlich-rechtlicher in privatrechtliche Rechtsträger, nicht aber der umgekehrte Vorgang, also die Umwandlung einer privatrechtlichen Stiftung in einen öffentlich-rechtlichen Rechtsträger. Denn dadurch fällt der betreffende Rechtsträger aus dem Privatrecht heraus und ist fortan vom öffentlichen Recht zu regeln (BBl 2000 4481; BGE 132 III 470 E. 5.2 S. 479; von der Crone et al., a.a.O., S. 293 Rz. 754; Lukas Glanzmann, Umstrukturierungen, Bern 2006, S. 304 Rz. 792; Schumacher, a.a.O., S. 222), welches in der originären Kompetenz der Kantone liegt ( Art. 3 BV ; Art. 6 ZGB ). Das angefochtene Gesetz steht daher nicht im Widerspruch zum FusG.</w:t>
      </w:r>
    </w:p>
    <w:p>
      <w:r>
        <w:rPr>
          <w:b/>
        </w:rPr>
        <w:t>E. 6.3</w:t>
      </w:r>
    </w:p>
    <w:p>
      <w:r>
        <w:t>Die Beschwerdeführer rügen sodann die Verletzung verschiedener Bestimmungen des BVG. Auch diesbezüglich kann offenbleiben, ob die Begründungspflicht eingehalten ist, sind doch die Rügen unbegründet:</w:t>
      </w:r>
    </w:p>
    <w:p>
      <w:r>
        <w:rPr>
          <w:b/>
        </w:rPr>
        <w:t>E. 6.3.1</w:t>
      </w:r>
    </w:p>
    <w:p>
      <w:r>
        <w:t>Soweit die Beschwerdeführer kritisieren, die Frage einer Totalliquidation sei nicht berücksichtigt, übersehen sie, dass die blosse Änderung der Rechtsform einer Vorsorgeeinrichtung nicht einmal eine Teilliquidation (vgl. Art. 53b Abs. 1 BVG ; Urteil 2A.48/2003 vom 26. Juni 2003, E. 3.2; Fritz Steiger, Die Teilliquidation nach Artikel 53b BVG, AJP 2007 S. 1051 ff., 1055), geschweige denn eine Gesamtliquidation darstellt. Ob das mit dem neuen Gesundheitsgesetz verbundene Ausscheiden der Angestellten der Gesundheitseinrichtungen aus der VPSW allenfalls eine Teilliquidation ist ( Art. 53b Abs. 1 lit. a BVG ), wird durch die Aufsichtsbehörde zu prüfen sein und bildet nicht Gegenstand des vorliegenden Verfahrens. So oder anders ist die Frage von geringer Bedeutung, da keine freien Mittel vorhanden sind, welche verteilt werden könnten ( Art. 23 FZG ).</w:t>
      </w:r>
    </w:p>
    <w:p>
      <w:r>
        <w:rPr>
          <w:b/>
        </w:rPr>
        <w:t>E. 6.3.2</w:t>
      </w:r>
    </w:p>
    <w:p>
      <w:r>
        <w:t>Die Beschwerdeführer halten Art. 65d Abs. 2 BVG für verletzt, weil die Massnahmen zur Behebung einer Unterdeckung nicht auf einer reglementarischen Grundlage beruhten. Diese Rüge ist unbegründet: Art. 65d BVG bezieht sich auf Massnahmen zur Behebung von Unterdeckungen, die aufgrund von Art. 65 BVG und Art. 44 BVV 2 unzulässig sind und deshalb grundsätzlich (unter Vorbehalt einer zeitlich befristeten Unterdeckung gemäss Art. 65c BVG ) von den Vorsorgeeinrichtungen in Eigenverantwortung behoben werden müssen ( Art. 65d Abs. 1 BVG ; Botschaft über Massnahmen zur Behebung von Unterdeckungen in der beruflichen Vorsorge [Änderung des Bundesgesetzes über die berufliche Alters-, Hinterlassenen- und Invalidenvorsorge] vom 19. September 2003, BBl 2003 6399 ff., 6418). Die Bestimmung gilt damit von vornherein nicht für diejenigen öffentlich-rechtlichen Kassen, bei welchen aufgrund einer Staatsgarantie eine Unterdeckung zulässig ist (BBl 2003 6412), wie das bei den hier zur Diskussion stehenden Einrichtungen der Fall ist.</w:t>
      </w:r>
    </w:p>
    <w:p>
      <w:r>
        <w:rPr>
          <w:b/>
        </w:rPr>
        <w:t>E. 6.4</w:t>
      </w:r>
    </w:p>
    <w:p>
      <w:r>
        <w:t>Unbegründet ist auch die Rüge, das Verhandlungs- oder Mediationsprinzip sei verletzt, wozu sich die Beschwerdeführer offensichtlich irrtümlich auf Art. 54 BV (recte wohl, ebenso irrtümlich, BVG) berufen. Bei öffentlich-rechtlichen Vorsorgeeinrichtungen werden die massgebenden Rechtsgrundlagen durch die zuständigen legislativen oder exekutiven Staatsorgane erlassen ( Art. 50 Abs. 2 BVG ), wobei das paritätisch besetzte Organ kein Mitbestimmungs-, sondern nur ein Anhörungsrecht hat ( Art. 51 Abs. 5 BVG ; ZBl 98/1997 S. 75 E. 5d/ff, 2P.111/1995; Riemer/Riemer-Kafka, Das Recht der beruflichen Vorsorge in der Schweiz, 2. Aufl., Bern 2006, S. 71), welches, wie aktenkundig ist, in ausgiebiger Weise gewährt wurde. Das Anhörungsrecht gibt keinen Anspruch darauf, dass die von den Arbeitnehmerorganisationen eingebrachten Vorschläge vom zuständigen Gesetzgeber übernommen werden. Solches folgt auch nicht aus der Koalitionsfreiheit ( Art. 28 Abs. 1 BV ; BGE 129 I 113 E. 3.1 S. 121 f.) oder aus den Übereinkommen der Internationalen Arbeitsorganisation (IAO) Nr. 98 vom 1. Juli 1949 über die Anwendung der Grundsätze des Vereinigungsrechtes und des Rechtes zu Kollektivverhandlungen (SR 0.822.719.9), Nr. 150 vom 26. Juni 1978 über die Arbeitsverwaltung (SR 0.822.725.0) oder Nr. 154 vom 19. Juni 1981 über die Förderung von Kollektivverhandlungen (SR 0.822.725.4), welche die entsprechenden Massnahmen unter den Vorbehalt der innerstaatlichen Gesetzgebung stellen und nicht unmittelbar anwendbar sind (vgl. Pra 2006 Nr. 107 S. 731 E. 3, 4C.422/2004).</w:t>
      </w:r>
    </w:p>
    <w:p>
      <w:r>
        <w:rPr>
          <w:b/>
        </w:rPr>
        <w:t>E. 6.5</w:t>
      </w:r>
    </w:p>
    <w:p>
      <w:r>
        <w:t>Nicht gefolgt werden kann den Beschwerdeführern schliesslich auch, soweit sie eine Verletzung der Statuten der VPSW geltend machen. Denn wenn eine vom Kanton gegründete privatrechtliche Stiftung unmittelbar aufgrund bundesrechtmässigen kantonalen öffentlichen Rechts in eine öffentlich-rechtliche Institution überführt wird, bleibt kein Raum für eine Statutenänderung oder eine Auflösung der Stiftung gemäss deren statutarischen Vorschriften, da das öffentliche Recht den Statuten einer privatrechtlichen Stiftung vorgeht.</w:t>
      </w:r>
    </w:p>
    <w:p>
      <w:r>
        <w:rPr>
          <w:b/>
        </w:rPr>
        <w:t>E. 7</w:t>
      </w:r>
    </w:p>
    <w:p>
      <w:r>
        <w:t>Die Beschwerdeführer machen geltend, das angefochtene Gesetz ändere die bisherigen Regelungen zum Nachteil der Versicherten ab und verletze damit den Grundsatz von Treu und Glauben ( Art. 9 BV ).</w:t>
      </w:r>
    </w:p>
    <w:p>
      <w:r>
        <w:rPr>
          <w:b/>
        </w:rPr>
        <w:t>E. 7.1</w:t>
      </w:r>
    </w:p>
    <w:p>
      <w:r>
        <w:t>Das öffentliche Dienstverhältnis wird durch die Gesetzgebung bestimmt und macht daher, auch was seine vermögensrechtliche Seite angeht, die Entwicklung mit, welche die Gesetzgebung erfährt. Ansprüche der Dienstnehmer sind dabei grundsätzlich gegenüber den Massnahmen des Gesetzgebers nur nach Massgabe des Willkürverbots und des Rechtsgleichheitsgebots geschützt. Ein umfassender Schutz besteht nur dort, wo bestimmte Ansprüche aus dem Dienstverhältnis als wohlerworbene Rechte betrachtet werden können, welche durch den Anspruch auf Treu und Glauben ( Art. 9 BV ) und die Eigentumsgarantie ( Art. 26 BV ) geschützt sind ( BGE 106 Ia 163 E. 1b S. 167 ff.; vgl. auch BGE 132 II 485 E. 9.5 S. 513). Dies trifft aber für die vermögensrechtlichen Ansprüche der öffentlichen Angestellten in der Regel nicht zu, sondern nur dann, wenn das Gesetz die entsprechenden Beziehungen ein für allemal festlegt und von den Einwirkungen der gesetzlichen Entwicklung ausnimmt, oder wenn bestimmte, mit einem einzelnen Anstellungsverhältnis verbundene Zusicherungen abgegeben werden ( BGE 118 Ia 245 E. 5b S. 255 f.; 117 V 229 E. 5b S. 235; Pra 2002 Nr. 146 S. 790 E. 3.2, 2P.258/2001, 2000 Nr. 22 S. 115 E. 3, 2P.298/1998, Nr. 80 S. 485 E. 4a, 1P.529/1999, 1999 Nr. 3 S. 11 E. 6a, 2P.158/1997, 1998 Nr. 31 S. 227 E. 2, 2P.27/1997, 1997 Nr. 1 S. 1 E. 3b, 2P.276/1995; ZBl 102/2001 S. 265 E. 3c, 2P.369/1998; SJ 2001 I S. 413 E. 2, 1P.23/2000).</w:t>
      </w:r>
    </w:p>
    <w:p>
      <w:r>
        <w:rPr>
          <w:b/>
        </w:rPr>
        <w:t>E. 7.2</w:t>
      </w:r>
    </w:p>
    <w:p>
      <w:r>
        <w:t>Die gleichen Grundsätze gelten auch für die berufliche Vorsorge: Die Statuten öffentlich-rechtlicher Vorsorgeeinrichtungen dürfen auch dann geändert werden, wenn sie keinen ausdrücklichen Abänderungsvorbehalt aufweisen, wie dies für privatrechtliche Vorsorgestiftungen gefordert wird. Allgemeine Schranken bilden das Willkürverbot und das Gleichbehandlungsgebot. Ein umfassender Schutz besteht nur dort, wo bestimmte Ansprüche aus dem Dienstverhältnis als wohlerworbene Rechte betrachtet werden können. Dies trifft dann zu, wenn sich Ansprüche aus zwingenden gesetzlichen Bestimmungen ergeben, wenn das Gesetz die entsprechenden Beziehungen ein für allemal festlegt und von den Einwirkungen der gesetzlichen Entwicklung ausnimmt, oder wenn bestimmte, mit einem einzelnen Anstellungsverhältnis verbundene Zusicherungen abgegeben werden. Wohlerworbene Rechte sind der Rentenanspruch als solcher und der bisher erworbene Bestand der Freizügigkeitsleistung, nicht aber - vorbehältlich qualifizierter Zusicherungen - während der Zugehörigkeit zur Vorsorgeeinrichtung und vor dem Eintritt des Vorsorgefalls das reglementarisch vorgesehene künftige Altersguthaben und die Anwartschaften bzw. die genaue Höhe der mit den Beiträgen finanzierten Leistungen ( BGE 130 V 18 E. 3.3 S. 29; 127 V 252 E. 3b S. 255; 117 V 221 E. 5b S. 227 f., 229 E. 5b S. 235; SVR 2007 BVG Nr. 23 S. 78 E. 4.2, B 72/05, 2000 BVG Nr. 12 S. 57 E. 3c, B 60/99; SZS 2003 S. 429 E. 6.1 und 6.3, B 94/01, 1997 S. 49 E. 2a, B 23/94, 1994 S. 373 E. 6, B 14/91, 1989 S. 313 E. 3b, P.1079/1987; SJ 2001 I S. 413 E. 2, 1P.23/2000; Urteile 2A.562/2005 vom 28. Juni 2006, E. 5.1, und 2A.398/2002 vom 9. Januar 2003, E. 4.2; Thomas Geiser, Änderung von Vorsorge-Reglementen und wohlerworbene Rechte, AJP 2003 S. 619 ff., 624; Ueli Kieser, Besitzstand, Anwartschaften und wohlerworbene Rechte in der beruflichen Vorsorge, SZS 1999 S. 290 ff., 310 ff.; Riemer/Riemer-Kafka, a.a.O., S. 104 Rz. 5; Schneider, a.a.O., N 20 zu Art. 88; Hans-Ulrich Stauffer, a.a.O., S. 507 ff.). Rentenanwartschaften sind auch dann abänderlich, wenn mit den Prämien Leistungen finanziert wurden, die nun reduziert oder gestrichen werden (Urteil 2A.398/2002 vom 9. Januar 2003, E. 4.2; vgl. auch in Bezug auf Änderungen des Umwandlungssatzes BGE 133 V 279 E. 3.1 S. 284 f.). Insbesondere ist die Möglichkeit, vor dem ordentlichen ( Art. 13 Abs. 1 BVG ) Pensionierungsalter in den Ruhestand zu treten, nicht verfassungsrechtlich geschützt ( BGE 117 V 229 E. 5c S. 235 ff.; SJ 2001 I S. 413 E. 5c, 1P.23/2000; SZS 1989 S. 313 E. 3d, P.1079/1987; Kieser, a.a.O., S. 312; Riemer/Riemer-Kafka, a.a.O., S. 108 Rz. 21), ebenso wenig ein wertmässiger Anspruch auf einen bestimmten Arbeitgeberbeitrag ( BGE 117 V 221 E. 5b S. 227 f.). Die gleichen Grundsätze müssen auch gelten, wenn im Rahmen eines öffentlich-rechtlich geregelten Dienstverhältnisses eine privatrechtlich organisierte Pensionskasse durch eine öffentlich-rechtliche ersetzt wird.</w:t>
      </w:r>
    </w:p>
    <w:p>
      <w:r>
        <w:rPr>
          <w:b/>
        </w:rPr>
        <w:t>E. 7.3</w:t>
      </w:r>
    </w:p>
    <w:p>
      <w:r>
        <w:t>Die von den Beschwerdeführern beanstandeten Massnahmen werden seitens des Kantons vor allem mit der angestrebten Erhöhung des Deckungsgrades begründet. Entsprechend der Unterdeckung besteht eine Staatsgarantie. Die angestrebte Erhöhung des Deckungsgrades reduziert das Risiko für den Kanton, aufgrund dieser Staatsgarantie Leistungen erbringen zu müssen. Es fragt sich, ob die bisher bestehende Staatsgarantie prinzipiell oder umfangmässig zu den wohlerworbenen Rechten gehört.</w:t>
      </w:r>
    </w:p>
    <w:p>
      <w:r>
        <w:rPr>
          <w:b/>
        </w:rPr>
        <w:t>E. 7.3.1</w:t>
      </w:r>
    </w:p>
    <w:p>
      <w:r>
        <w:t>Im Rahmen des Bundesgesetzes über die Pensionskasse des Bundes vom 23. Juni 2000 (PKB-Gesetz; SR 172.222.0), mit welchem der Übergang zur Bilanzierung in geschlossener Kasse festgelegt wurde ( Art. 15 PKB-Gesetz ), ging der Bundesgesetzgeber davon aus, dass die bisherige Unterdeckung, die vor allem aus nicht finanzierten Leistungen für die Eintrittsgeneration und für Erhöhungen des versicherten Verdienstes resultierte, einer Arbeitgeberschuld entspreche (Botschaft zum Bundesgesetz über die Pensionskasse des Bundes vom 1. März 1999, BBl 1999 5223 ff., S. 5248), weshalb der Fehlbetrag von den Arbeitgebern übernommen wurde ( Art. 26 PKB-Gesetz ). Dies bedeutet allerdings noch nicht, dass diese Lösung verfassungsrechtlich die einzig zulässige wäre.</w:t>
      </w:r>
    </w:p>
    <w:p>
      <w:r>
        <w:rPr>
          <w:b/>
        </w:rPr>
        <w:t>E. 7.3.2</w:t>
      </w:r>
    </w:p>
    <w:p>
      <w:r>
        <w:t>Die Rechtsprechung hat sich bisher zu dieser Frage nicht ausdrücklich geäussert. Im Urteil 2A.228/2005 vom 23. November 2005 wurde eine rückwirkende Aufhebung einer vom Gemeinwesen geleisteten Mindestzinsgarantie als unzulässig erklärt, während die Aufhebung für das laufende Jahr unbestritten blieb. In der Lehre wird die Ansicht vertreten, bei Vorsorgeeinrichtungen mit offener Bilanzierung sei eine Leistungsreduktion nicht zulässig; dies wird einerseits mit Art. 91 BVG begründet, andererseits damit, dass eine Unterdeckung weder im Freizügigkeits- ( Art. 19 FZG ) noch im Liquidationsfall ( Art. 53d Abs. 3 BVG e contrario) berücksichtigt werden dürfe, mithin die gesamte nach Art. 16 FZG berechneten Barwerte die mathematische Reserve bilden, die als wohlerworbene Rechte geschützt seien (Jacques-André Schneider/Eric Maugué, Caisses de pensions publiques: garantie étatique et modification du plan des prestations, SVZ 68/2000 S. 65 ff.).</w:t>
      </w:r>
    </w:p>
    <w:p>
      <w:r>
        <w:rPr>
          <w:b/>
        </w:rPr>
        <w:t>E. 7.3.3</w:t>
      </w:r>
    </w:p>
    <w:p>
      <w:r>
        <w:t>Die Bedeutung des Art. 91 BVG liegt im intertemporalrechtlichen Bereich: Insbesondere sollen vorobligatorische Ansprüche nur abgeändert werden dürfen, wenn und soweit das Reglement der betreffenden Vorsorgeeinrichtung hierüber eine ausdrückliche Bestimmung enthält. Hinsichtlich der allgemeinen Garantie wohlerworbener Rechte sagt Art. 91 BVG jedoch nichts aus, was nach herrschender Lehre und Rechtsprechung nicht ohnehin gelten würde. Art. 91 BVG bezieht sich somit nicht auf die Frage, ob und unter welchen Umständen Vorsorgeeinrichtungen des privaten und öffentlichen Rechts gegebenenfalls im ausserobligatorischen Bereich ihre Reglemente und Statuten abändern dürfen (SZS 1994 S. 373 E. 7a, B 14/91; Geiser, a.a.O., S. 624). Auch ist die Staatsgarantie als solche keine gesetzlich zwingende Leistung. Das Bundesrecht sieht die Möglichkeit einer solchen Garantie vor, schreibt sie aber den Kantonen nicht vor. Es muss daher grundsätzlich zulässig sein, eine einmal festgelegte Garantie auch wieder aufzuheben (vorne E. 5.3, 7.1 und 7.2). Das Bundesrecht verbietet zwar im Freizügigkeitsfall eine Berücksichtigung von Unterdeckungen, doch folgt daraus nicht, dass eine einmal gewährte Staatsgarantie nach Bestand und Umfang unabänderlich wäre. Die gegenteilige Auffassung liefe im Ergebnis darauf hinaus, bestimmte einmal gewährte vermögensrechtliche Ansprüche öffentlicher Bediensteter ein für allemal für unabänderlich zu erklären, was der zitierten ständigen Rechtsprechung zuwiderliefe. Eine Parallelität zwischen Freizügigkeitsleistung und wohlerworbenen Rechten gibt es auch bei privatrechtlichen Vorsorgeeinrichtungen nicht: Auch dort muss im Freizügigkeitsfall den Austretenden die ungeschmälerte Austrittsleistung mitgegeben werden ( Art. 2 und 15 ff. FZG ), während die in der Einrichtung Verbleibenden unter Umständen zu Sanierungsanstrengungen herangezogen werden können ( Art. 65d BVG ) und damit gegenüber den Austretenden allenfalls benachteiligt werden.</w:t>
      </w:r>
    </w:p>
    <w:p>
      <w:r>
        <w:rPr>
          <w:b/>
        </w:rPr>
        <w:t>E. 7.4</w:t>
      </w:r>
    </w:p>
    <w:p>
      <w:r>
        <w:t>Im Entwurf zum angefochtenen Gesetz war vorgesehen, dass das bei Inkrafttreten zu Vorsorgezwecken angehäufte Vermögen sowie der Anspruch auf Leistungen, deren Voraussetzungen bereits erfüllt sind, als wohlerworbene Rechte garantiert werden. Der Grosse Rat ergänzte in Art. 42 GVE diese Garantie um den bei Inkrafttreten des Gesetzes geltenden Rentensatz. Gemäss Art. 83 Abs. 2 des vom Staatsrat erlassenen Grundreglements der Vorsorgekasse für das Personal des Staates Wallis vom 7. Februar 2007 werden zu diesem Zweck die Versicherungsjahre, welche durch die am 31. Dezember 2006 der Kasse angeschlossenen Versicherten der Kategorie 2 im Sinne der zu diesem Zeitpunkt geltenden Statuten erworben wurden, am 1. Januar 2007 je zu 16/15 gutgeschrieben. Mit diesen Regelungen ist der verfassungsrechtliche Schutz jedenfalls eingehalten.</w:t>
      </w:r>
    </w:p>
    <w:p>
      <w:r>
        <w:rPr>
          <w:b/>
        </w:rPr>
        <w:t>E. 7.5</w:t>
      </w:r>
    </w:p>
    <w:p>
      <w:r>
        <w:t>Ein weiter gehender verfassungsrechtlicher Schutz wohlerworbener Rechte käme höchstens in Frage, wenn die zuständigen Behörden des Kantons feste individuelle Zusicherungen in Bezug auf die Beibehaltung der bisherigen Leistungen gemacht hätten. Dies behaupten die Beschwerdeführer selber nicht. Sie bringen nur vor, die Leistungen der Pensionskasse seien über Jahre Bestandteil der Lohn- und Personalpolitik des Kantons und ein gängiges Werbeargument bei der Rekrutierung neuer Mitarbeiter gewesen. Der blosse Umstand, dass eine Behörde bisher eine bestimmte Behandlung hat zukommen lassen, stellt indessen noch keine Vertrauensgrundlage dar ( BGE 129 I 161 E. 4.2 S. 170; SZS 1997 S. 49 E. 3, B 23/94; ZBl 107/2006 S. 309 E. 3, 1P.58/2004; vgl. für das privatrechtliche Vorsorgeverhältnis BGE 133 V 279 E. 3.2 S. 285) und schliesst namentlich nicht aus, dass der Staat seine Lohn- oder Personalpolitik ändert. Wer in den Staatsdienst tritt, muss damit rechnen, dass das Gesetz, welches die Rechtsstellung der Staatsangestellten regelt, grundsätzlich jederzeit geändert werden kann (SZS 1997 S. 49 E. 2c, B 23/94).</w:t>
      </w:r>
    </w:p>
    <w:p>
      <w:r>
        <w:t>Auch dass der Staatsrat früher Bedenken betreffend den tiefen Deckungsgrad mit dem Hinweis auf die Staatsgarantie beantwortet habe, kann den Gesetzgeber nicht daran hindern, später Massnahmen zu treffen, welche den Deckungsgrad erhöhen. Ob der Zeitpunkt oder das Ausmass der angestrebten Erhöhung angemessen sind, ist eine Frage des gesetzgeberischen Ermessens. Auch die den Beschwerdeführern ausgestellten Versicherungs- bzw. Leistungsausweise stellen keine Vertrauensgrundlage dar, zumal sie festhalten, dass für die Berechnung der Leistungen die Bestimmungen der Statuten 2000 massgebend seien, ohne jedoch diese Statuten als unabänderlich zu erklären (vgl. auch Gutachten des Bundesamtes für Justiz über die verfassungsrechtliche Zulässigkeit von Rentenkürzungen bei Publica und den Pensionskassen Post und SBB, publ. in: VPB 2006 Nr. 68 S. 1054 ff., 1074 f.; Urteil B 94/01 vom 13. September 2002 [mit Zusammenfassung in SZS 2003 S. 429], E. 6.3).</w:t>
      </w:r>
    </w:p>
    <w:p>
      <w:r>
        <w:rPr>
          <w:b/>
        </w:rPr>
        <w:t>E. 7.6.1</w:t>
      </w:r>
    </w:p>
    <w:p>
      <w:r>
        <w:t>Aus dem Grundsatz von Treu und Glauben hat die Rechtsprechung abgeleitet, dass unter Umständen angemessene Übergangsfristen für neue belastende Regelungen verfassungsrechtlich geboten sein können ( BGE 130 I 26 E. 8.1 S. 60; Pra 2000 Nr. 22 S. 115 E. 4c, 2P.298/1998, Nr. 128 S. 745 E. 4c, 2P.56/1999). Übergangsfristen haben jedoch nicht den Zweck, die Betroffenen möglichst lange von der günstigeren bisherigen Regelung profitieren zu lassen, sondern einzig, ihnen eine angemessene Frist einzuräumen, sich an die neue Regelung anzupassen ( BGE 123 II 385 E. 9 S. 395 f., 122 V 405 E. 3b/bb S. 409; Schneider/Maugué, a.a.O., S. 77 f.). Dies gilt auch für die Änderung von besoldungs- oder pensionsrechtlichen Ansprüchen öffentlicher Angestellten: Eine mit Treu und Glauben begründete Übergangsfrist soll den Betroffenen ermöglichen, ihre Lebenshaltung an ein allfällig reduziertes Einkommen anzupassen ( BGE 130 V 18 E. 3.3 S. 29 f.; SJ 2001 I S. 413 E. 5b, 1P.23/2000; Pra 1997 Nr. 1 S. 1 E. 4c, 2P.276/1995; Urteil 2A.398/2002 vom 9. Januar 2003, E. 4.2), bei besoldungsrechtlichen Ansprüchen z.B. durch Kündigung vor dem Inkrafttreten der neuen Regelung, so dass allenfalls ein Anspruch auf eine Übergangsfrist im zeitlichen Rahmen der Kündigungsfrist oder von vergleichbarer Dauer anerkannt werden könnte (vgl. Pra 1998 Nr. 31 S. 227 E. 5, 2P.27/1997, 1997 Nr. 1 S. 1 E. 4c, 2P.276/1995; Schneider/Maugué, a.a.O., S. 78 f.). Die Rechtsprechung hat allerdings das Fehlen einer Übergangsregelung nur zurückhaltend als verfassungswidrig beurteilt und namentlich bei relativ geringfügigen Leistungseinbussen auch eine übergangslose Inkraftsetzung einer neuen Regelung nicht beanstandet ( BGE 106 Ia 163 , n. publ. E. 6c; Pra 2000 Nr. 22 S. 115 E. 4c m.H, 2P.298/1998, 1999 Nr. 3 S. 11 E. 6b, 2P.158/1997; vgl. auch für das privatrechtliche Vorsorgeverhältnis BGE 133 V 279 E. 3.3 S. 286). Bei vorsorgerechtlichen Verhältnissen sind freilich die Konsequenzen einer Verschlechterung nur sehr eingeschränkt durch Kündigung abwendbar, so dass sich allenfalls tendenziell längere Übergangsfristen rechtfertigen lassen.</w:t>
      </w:r>
    </w:p>
    <w:p>
      <w:r>
        <w:rPr>
          <w:b/>
        </w:rPr>
        <w:t>E. 7.6.2</w:t>
      </w:r>
    </w:p>
    <w:p>
      <w:r>
        <w:t>Art. 34 des angefochtenen Gesetzes enthält die Grundsätze, in deren Rahmen die Kassen eine Übergangsregelung betreffend die Erhöhung des ordentlichen Rücktrittsalters und die Änderungen im Zusammenhang mit der AHV-Überbrückungsrente vorsehen (Abs. 1). Die Übergangsmassnahmen werden den Begünstigten während einer Zeitspanne von fünf Jahren ab Inkrafttreten des Gesetzes gewährt (Abs. 2). Die Übergangsregelung basiert bezüglich der Erhöhung des Rücktrittsalters auf einer progressiven Reduktion der Leistungen in Abhängigkeit vom Zeitpunkt der ordentlichen Pensionierung (Abs. 3), bezüglich der AHV-Überbrückungsrente auf einer progressiven Reduktion der Anzahl jährlicher Maximalrenten, in Abhängigkeit vom Rücktrittsjahr (Abs. 4). Diese Grundsätze sind zweckmässig und sinnvoll, indem sie die Folgen der Rechtsänderung zeitlich gestaffelt eintreten lassen (vgl. SJ 2001 I S. 413 E. 5c, 1P.23/2000). Wer beim Inkrafttreten des Gesetzes kurz vor der nach bisherigem Recht möglichen Pensionierung steht, erleidet nur eine geringe Einbusse. Die volle Leistungskürzung tritt erst nach fünf Jahren ein, und zudem nur, wenn die versicherte Person im bisher vorgesehenen Pensionsalter zurücktritt. Arbeitet sie bis zum neu vorgesehenen Pensionsalter weiter - welches immer noch tiefer ist als das für die Mehrheit der Versicherten geltende gesetzliche Rentenalter - erleidet sie keine Renteneinbusse. Die für die Anpassung der Lebensplanung eingeräumte Frist von mehreren Jahren ist unter diesen Umständen im Lichte der dargestellten Rechtsprechung verfassungsrechtlich nicht zu beanstanden (vgl. auch SZS 1989 S. 313 E. 4f, P.1079/1987). Das blosse Interesse der Versicherten auf möglichst lange Weitergeltung der bisherigen günstigeren Regelung ist kein verfassungsrechtlich zwingender Grund für eine längere Übergangsdauer, ebenso wenig der Umstand, dass bei anderen Gesetzesrevisionen längere Übergangsfristen festgesetzt worden sind (vorne E. 5.3).</w:t>
      </w:r>
    </w:p>
    <w:p>
      <w:r>
        <w:rPr>
          <w:b/>
        </w:rPr>
        <w:t>E. 8</w:t>
      </w:r>
    </w:p>
    <w:p>
      <w:r>
        <w:t>Offensichtlich unbegründet ist die Rüge, das angefochtene Gesetz sei willkürlich. Ein Erlass ist willkürlich, wenn er sich nicht auf ernsthafte sachliche Gründe stützen lässt oder sinn- und zwecklos ist ( BGE 131 I 1 E. 4.2 S. 6, 129 I 1 E. 3 S. 3, 124 I 297 E. 3b S. 299). Das angefochtene Gesetz bezweckt eine Erhöhung des Deckungsgrades der kantonalen Vorsorgeeinrichtungen. Dies ist ohne weiteres ein haltbarer sachlicher Grund ( BGE 117 V 229 E. 5c S. 237; SZS 1989 S. 313 E. 4e, P.1079/1987; VPB 2006 Nr. 68 S. 1079) und trägt überdies den gesetzgeberischen Bestrebungen auf eidgenössischer Ebene Rechnung (vgl. die parlamentarische Initiative 03.432 [Beck], welche eine Aufhebung von Art. 69 Abs. 2 BVG anstrebt und der vom Nationalrat Folge gegeben wurde [Amtl Bull N 2005 S. 21 ff., N 2007 S. 566 f.]; Vernehmlassungsvorlage vom Juni 2007 "Finanzierung öffentlich-rechtlicher Vorsorgeeinrichtungen", Änderung des BVG), auch wenn diese umstritten sein mögen (Carl Helbling, Personalvorsorge und BVG, 8. Aufl., Bern 2006, S. 453 ff.; Meinrad Pittet, Die öffentlichen Pensionskassen in der Schweiz, Bern 2005, S. 99 ff.). Auch die Harmonisierung des Pensionsalters der Lehrer mit demjenigen des übrigen Staatspersonals ist ohne weiteres ein sachlich haltbares Anliegen. Sie ist auch nicht unverhältnismässig, ist sie doch erforderlich und geeignet, um das angestrebte legitime Ziel zu erreichen, und zudem auch nicht unverhältnismässig im engeren Sinne, stellt sie doch im Wesentlichen einfach die betroffenen Lehrkräfte den übrigen Staatsangestellten gleich (vgl. dazu hinten E. 9.2).</w:t>
      </w:r>
    </w:p>
    <w:p>
      <w:r>
        <w:rPr>
          <w:b/>
        </w:rPr>
        <w:t>E. 9</w:t>
      </w:r>
    </w:p>
    <w:p>
      <w:r>
        <w:t>Die Beschwerdeführer rügen eine Verletzung der Rechtsgleichheit ( Art. 8 BV ) mit der Begründung, die Versicherten von nur zwei der fünf Kategorien hätten durch eine Erhöhung des Pensionierungsalters die Hauptlast der Sanierung zu tragen (vgl. vorne E. 5.1).</w:t>
      </w:r>
    </w:p>
    <w:p>
      <w:r>
        <w:rPr>
          <w:b/>
        </w:rPr>
        <w:t>E. 9.1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132 I 157 E. 4.1 S. 162 f.; 131 V 107 E. 3.4.2 S. 114 ; 130 I 65 E. 3.6 S. 70).</w:t>
      </w:r>
    </w:p>
    <w:p>
      <w:r>
        <w:rPr>
          <w:b/>
        </w:rPr>
        <w:t>E. 9.2</w:t>
      </w:r>
    </w:p>
    <w:p>
      <w:r>
        <w:t>Durch das angefochtene Gesetz wird nicht etwa zum Nachteil der betroffenen Lehrkräfte (Primarschul-, Orientierungsstufen- und Berufsschullehrer) eine Ungleichheit neu geschaffen, sondern im Gegenteil eine vorher bestehende Ungleichheit aufgehoben, indem das früher tiefere Pensionsalter der betreffenden Versicherten demjenigen des übrigen Staatspersonals angeglichen wird. Rechtfertigungsbedürftig ist weniger die jetzt hergestellte Gleichbehandlung als die vorher bestehende Ungleichbehandlung. Es liegt zwar innert bestimmter Grenzen im Rahmen des gesetzgeberischen Gestaltungsspielraums, bestimmte Gruppen von Versicherten im Hinblick auf besondere berufliche Anforderungen früher als andere zu pensionieren, weshalb es nicht unzulässig ist, dass der Kanton Wallis für die Kategorien 3 und 5 nach wie vor ein tieferes Pensionierungsalter als für die übrigen Angestellten festlegt. Jedenfalls bestehen aber keine verfassungsrechtlich zwingenden Gründe dafür, auch die betroffenen Lehrkräfte zwei Jahre früher als andere Staatsangestellte zu pensionieren. Der Gesetzgeber verstösst nicht gegen Art. 8 BV , wenn er eine bisher bestehende, verfassungsrechtlich allenfalls zulässige, aber jedenfalls nicht zwingende Ungleichbehandlung aufhebt (SJ 2001 I S. 413 E. 5a, 1P.23/2000; SZS 1989 S. 313 E. 4d, P.1079/1987). Dass dies von den bisher Bevorzugten als Nachteil empfunden wird, liegt in der Natur der Sache, ist aber verfassungsrechtlich nicht unzulässig, wäre es doch sonst a priori unmöglich, einmal festgesetzte Ungleichbehandlungen zu eliminieren.</w:t>
      </w:r>
    </w:p>
    <w:p>
      <w:r>
        <w:rPr>
          <w:b/>
        </w:rPr>
        <w:t>E. 9.3</w:t>
      </w:r>
    </w:p>
    <w:p>
      <w:r>
        <w:t>Es trifft zu, dass eine gewisse Ungleichbehandlung zwischen den aus der VPSW ausscheidenden (u.a. diejenigen, die in das Réseau Santé Valais überführt werden) und den in dieser verbleibenden Versicherten besteht: Die Ausscheidenden erhalten 100 % ihrer Austrittsleistung, während die Verbleibenden nicht mehr diejenigen Leistungen bekommen werden, welche nach bisherigem Recht den in der Vergangenheit einbezahlten Beiträgen entsprechen würden. Diese Bevorzugung der Austretenden folgt aber aus den bundesrechtlichen Vorschriften, welche zwingend vorschreiben, den ausgetretenen Versicherten die volle Austrittsleistung mitzugeben ( Art. 2 und 15 ff. FZG ), namentlich auch bei öffentlich-rechtlichen Vorsorgeeinrichtungen mit Unterdeckung ( Art. 19 FZG ). Bei bestehender Unterdeckung müssen deshalb die fehlenden Mittel zwangsläufig durch das Gemeinwesen bezahlt werden. Die von den Beschwerdeführern beanstandete Zahlung zugunsten der Austretenden ist damit bundesrechtlich vorgegeben. Daraus kann aber, anders als die Beschwerdeführer offenbar annehmen (ebenso Schneider/Maugué, a.a.O., S. 74), nicht abgeleitet werden, dass aus Rechtsgleichheitsgründen auch den verbleibenden Versicherten keine Sanierungsmassnahmen in Form von Leistungsänderungen auferlegt werden könnten. Es entspricht dem Grundkonzept von BVG und FZG, dass Personen, die vor dem Eintritt des Versicherungsfalls aus der Vorsorgeeinrichtung ausscheiden, mit der Entrichtung des Freizügigkeitsguthabens ihre Beziehungen zur bisherigen Einrichtung beenden: Sie haben (ausser im Falle der Liquidation, Art. 23 FZG ) keinen Anspruch mehr auf freie Mittel, können umgekehrt aber auch nicht mehr zu Sanierungsleistungen herangezogen werden (vgl. vorne E. 7.3.3). Diese obliegen dem Arbeitgeber und den (verbleibenden) Arbeitnehmern als Solidargemeinschaft der Versicherungseinrichtung ( Art. 65d BVG ). Könnten die verbleibenden Versicherten nicht mehr zu Sanierungsmassnahmen herangezogen werden, so wären solche überhaupt nicht oder nur auf Kosten des Arbeitgebers möglich; dies widerspräche bei Einrichtungen mit geschlossener Kasse der gesetzlichen Regelung ( Art. 65 ff. BVG ) bzw. würde bei Einrichtungen mit offener Kasse zwingend implizieren, dass die einmal gewährte Staatsgarantie auch in der Höhe unveränderlich wäre, was indessen dem Grundsatz der jederzeitigen Änderung der Gesetzgebung (vorne E. 7.1 und 7.2) widerspräche. Die Ungleichbehandlung von Ausgetretenen und Verbleibenden ist damit unausweichlich (Stauffer, a.a.O., S. 414 Rz. 1114, S. 510 Rz. 1351); unter anderem um diese in Zukunft zu vermeiden oder zu reduzieren, werden heute in den öffentlich-rechtlichen Vorsorgeeinrichtungen höhere Deckungsgrade angestrebt als in der Vergangenheit (vgl. vorne E. 8). Die Ungleichbehandlung wird immerhin dadurch gemildert, dass die Verbleibenden weiterhin die Staatsgarantie geniessen (Botschaft zu einem Bundesgesetz über die Freizügigkeit in der beruflichen Alters-, Hinterlassenen- und Invalidenvorsorge vom 26. Februar 1992, BBl 1992 III 533 ff., 595; Schneider/Maugué, a.a.O., S. 73).</w:t>
      </w:r>
    </w:p>
    <w:p>
      <w:r>
        <w:rPr>
          <w:b/>
        </w:rPr>
        <w:t>E. 9.4</w:t>
      </w:r>
    </w:p>
    <w:p>
      <w:r>
        <w:t>Eine Ungleichbehandlung könnte allenfalls darin erblickt werden, dass die von der neuen Regelung Betroffenen in der Vergangenheit durch höhere Beiträge ihr früheres Pensionierungsalter vorfinanziert haben und infolge der Neuregelung nun - anders als die übrigen Versicherten - für diese Beiträge keine entsprechenden Leistungen mehr erhalten.</w:t>
      </w:r>
    </w:p>
    <w:p>
      <w:r>
        <w:rPr>
          <w:b/>
        </w:rPr>
        <w:t>E. 9.4.1</w:t>
      </w:r>
    </w:p>
    <w:p>
      <w:r>
        <w:t>Dabei können allerdings von vornherein nur die Arbeitnehmerbeiträge von Bedeutung sein, die in der Kategorie 2 um 1 Lohnprozent höher waren als in der Kategorie 1; die bisher um 1,6 Lohnprozent höheren Arbeitgeberbeiträge stellten eine besondere Privilegierung der Kategorie 2 dar, auf deren Fortbestand kein verfassungsrechtlicher Anspruch bestehen kann (vorne E. 9.2).</w:t>
      </w:r>
    </w:p>
    <w:p>
      <w:r>
        <w:rPr>
          <w:b/>
        </w:rPr>
        <w:t>E. 9.4.2</w:t>
      </w:r>
    </w:p>
    <w:p>
      <w:r>
        <w:t>In der Rechtsprechung wurde eine Ungleichbehandlung bejaht, wenn durch ein unfreiwilliges Ausscheiden aus einer Vorsorgeeinrichtung der Vorsorgeschutz nicht aufrechterhalten werden kann (vgl. SZS 1994 S. 373 E. 8, B 14/91). Hier ist indessen eine Weiterführung des Vorsorgeschutzes möglich, sogar ohne Renteneinbusse, wenn die Versicherten bis zum neu vorgesehenen (immer noch relativ tiefen) Pensionsalter weiterarbeiten.</w:t>
      </w:r>
    </w:p>
    <w:p>
      <w:r>
        <w:rPr>
          <w:b/>
        </w:rPr>
        <w:t>E. 9.4.3</w:t>
      </w:r>
    </w:p>
    <w:p>
      <w:r>
        <w:t>Als gegen die Rechtsgleichheit verstossend hat das Gericht bei einer Beitragsprimatkasse eine Regelung qualifiziert, wonach freiwillig versicherte Mitglieder einer öffentlich-rechtlichen Vorsorgeeinrichtung, die keinen Anspruch auf vorzeitige Pensionierung hatten, an der Finanzierung der vorzeitigen Pensionierung der obligatorisch versicherten Mitglieder durch höhere Beiträge mitzuwirken hatten; dem freiwillig Versicherten wurde daher ein Anspruch auf Rückerstattung der zur Finanzierung des flexiblen Rentenalters der obligatorisch versicherten Mitglieder entrichteten (zusätzlichen) Beiträge zuerkannt (SZS 1997 S. 331, B 37/93). Im Unterschied zu jenem Fall müssen vorliegend die Angehörigen der Kategorie 2 nicht eine vorzeitige Pensionierung einer anderen Gruppe mitfinanzieren. Zudem handelt es sich bei der VPSW bisher um eine Leistungsprimatkasse, bei welcher - im Unterschied zu einer Beitragsprimatkasse (SZS 1997 S. 331 E. 5b/bb, B 37/93) - das individuelle Äquivalenzprinzip nicht gilt, sondern der Anspruch vom Barwert der erworbenen Leistung abhängt und sich mit diesem ändern kann (vgl. Art. 16 Abs. 6 FZG ; Urteil 2A.396/2003 vom 30. September 2004, E. 5.1). In solchen Systemen sind unterschiedliche Methoden der Leistungsfinanzierung verfassungsrechtlich zulässig, auch wenn sie dazu führen, dass nicht alle Versicherten in genau gleicher Weise zu den letztlich gleichen Leistungen beitragen ( BGE 121 II 198 E. 4 S. 204 f.).</w:t>
      </w:r>
    </w:p>
    <w:p>
      <w:r>
        <w:rPr>
          <w:b/>
        </w:rPr>
        <w:t>E. 9.4.4</w:t>
      </w:r>
    </w:p>
    <w:p>
      <w:r>
        <w:t>In dem in SZS 1989 S. 313 publizierten Urteil P.1079/1987 vom 30. September 1988 wurde eine Rechtsungleichheit verneint bei einer mit der vorliegenden vergleichbaren Regelung, welche eine nach früherem Recht bestehende (allerdings nur ungenügend finanzierte) Möglichkeit für Lehrkräfte, mit 60 Jahren mit nur unwesentlich gekürzter Rente in den Ruhestand zu treten, aufhob. Dabei liess auch der Umstand, dass dafür eine Pflicht zum rückwirkenden Einkauf bestanden hatte, den Verlust des weitgehenden Pensionierungsanspruchs nicht als verfassungswidrig erscheinen (a.a.O., E. 3 und 4); allerdings wurde offengelassen, ob und inwieweit ein Anspruch auf Rückerstattung des seinerzeit zwecks Rückeinkaufs bezahlten Betrags bestehe (a.a.O., E. 5). Verneint wurden eine Rechtsungleichheit und ein Anspruch auf Rückforderung in einem Fall, in welchem ein Versicherter eine Summe für den Auskauf einer Rentenkürzung bei vorzeitiger Pensionierung geleistet hatte, in der Folge der Arbeitgeber jedoch eine generelle vorzeitige Pensionierung anordnete und somit auch diejenigen, die keine Auskaufssumme geleistet hatten, in den Genuss der gleichen Leistung gelangten; das Eidgenössische Versicherungsgericht erwog, anders als in dem in SZS 1997 S. 331 (B 37/93) beurteilten Sachverhalt habe der Versicherte mit der streitigen Auskaufssumme nicht zur Finanzierung der vorzeitigen Pensionierung derjenigen (vorzeitig pensionierten) Versicherten beigetragen, die sich nicht auf das 63. Altersjahr eingekauft haben; auch sei er in seinen Rechten nicht geschmälert, bloss ziehe er aus dem damaligen Auskauf keinen Vorteil, weil er auch sonst in den Genuss der entsprechenden Leistung gelange. Es liege in der Natur vorzeitiger Pensionierungen, dass generelle Lösungen zu treffen seien, welche sich je nach der individuellen Altersgrenze und Versicherungsdauer für die Betroffenen unterschiedlich auswirken könnten ( BGE 127 V 252 E. 3c S. 256 f.). Auch ein Anspruch aus ungerechtfertigter Bereicherung auf Rückerstattung der nutzlos eingebrachten Leistungen wurde verneint: Zum einen habe der Versicherte keinen zwingenden Rechtsanspruch auf Fortbestand seiner Anwartschaften gehabt, indem der Rechtszustand auch zu seinen Ungunsten hätte geändert werden können. Zum andern habe auch die Vorsorgeeinrichtung keinen ungerechtfertigten Vermögensvorteil erlangt, weil auch die vom Beschwerdeführer geleistete Auskaufssumme das für die vorzeitige Pensionierung erforderliche Deckungskapital nur zum Teil ausgleiche. Begünstigt sei allenfalls der nach kantonalem Recht zum Ausgleich des Deckungskapitals verpflichtete Kanton. Darin lasse sich jedoch keine die Rückerstattungspflicht der Vorsorgeeinrichtung rechtfertigende Bereicherung erblicken (a.a.O., E. 4a S. 257 f.). Auch aus Treu und Glauben ergebe sich kein Rückerstattungsanspruch (a.a.O., E. 4b S. 258 f.).</w:t>
      </w:r>
    </w:p>
    <w:p>
      <w:r>
        <w:rPr>
          <w:b/>
        </w:rPr>
        <w:t>E. 9.4.5</w:t>
      </w:r>
    </w:p>
    <w:p>
      <w:r>
        <w:t>Anders als im zuletzt zitierten Fall erhalten vorliegend die Angehörigen der Kategorie 2 nicht eine zusätzliche Leistung, die sie - im Unterschied zu den anderen Leistungsempfängern - finanziert haben, sondern es wird eine bisher vorgesehene und von ihnen finanzierte Leistung reduziert. Die wirtschaftliche Konsequenz ist jedoch in beiden Fällen dieselbe: Die betroffenen Versicherten haben eine Finanzierung geleistet, die ihnen jetzt keinen Nutzen mehr bringt. Im Lichte der zitierten Rechtsprechung kann diese Regelung nicht als verfassungswidrig beurteilt werden: Sie beruht auf einem sachlich begründeten Anliegen (E. 8) und ist angesichts der Übergangsfrist (E. 7.6.2) und des garantierten Rentensatzes (E. 7.4) in ihren Auswirkungen relativ bescheiden. Sie hält sich im Rahmen der Ungleichheiten, die bei einer Reglementsänderung unvermeidlich und in gewissem Umfang hinzunehmen sind.</w:t>
      </w:r>
    </w:p>
    <w:p>
      <w:r>
        <w:rPr>
          <w:b/>
        </w:rPr>
        <w:t>E. 10</w:t>
      </w:r>
    </w:p>
    <w:p>
      <w:r>
        <w:t>Die unterliegenden Beschwerdeführer tragen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