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9C_838/2010 vom 21. Januar 2011</w:t>
      </w:r>
    </w:p>
    <w:p>
      <w:r>
        <w:t>Bundesgericht, 2011-01-21, FR</w:t>
      </w:r>
    </w:p>
    <w:p>
      <w:r>
        <w:rPr>
          <w:b/>
        </w:rPr>
        <w:t xml:space="preserve">Quelle: </w:t>
      </w:r>
      <w:r>
        <w:t>https://mcp.opencaselaw.ch/entscheid/bger_9C_838_2010</w:t>
      </w:r>
    </w:p>
    <w:p>
      <w:r>
        <w:t>FR: TF 9C_838/2010 du 21 janvier 2011</w:t>
      </w:r>
    </w:p>
    <w:p>
      <w:r>
        <w:t>IT: TF 9C_838/2010 del 21 gennaio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En substance, la recourante estime que la caisse intimée n'est pas fondée à lui réclamer le paiement de la somme de 52 fr. 25, du moment que la prime litigieuse a été échue pendant sa minorité, période où seule sa mère en était la débitrice.</w:t>
      </w:r>
    </w:p>
    <w:p>
      <w:r>
        <w:rPr>
          <w:b/>
        </w:rPr>
        <w:t>E. 2.2</w:t>
      </w:r>
    </w:p>
    <w:p>
      <w:r>
        <w:t>Dans l'arrêt 9C_660/2007 du 25 avril 2008, le Tribunal fédéral a constaté que la recourante était personnellement débitrice des arriérés de cotisations d'assurance et de participations aux coûts résultant de l'exécution du contrat d'assurance conclu en sa faveur par sa mère alors qu'elle était encore mineure. Bien que l'Organe cantonal vaudois de contrôle de l'assurance-maladie et accidents ait pris en charge la plus grande partie de l'arriéré dû par la recourante à la caisse intimée (cf. art. 23 sv. de la loi d'application vaudoise de la loi fédéral sur l'assurance-maladie [LVLAMal; RSVd 831.02]), il reste un montant de 29 fr. 05 en souffrance dont la recourante est la débitrice. En tant qu'il concerne le solde de la prime due pour le mois d'août 2006, le recours doit être rejeté.</w:t>
      </w:r>
    </w:p>
    <w:p>
      <w:r>
        <w:rPr>
          <w:b/>
        </w:rPr>
        <w:t>E. 3.1</w:t>
      </w:r>
    </w:p>
    <w:p>
      <w:r>
        <w:t>La recourante considère par ailleurs que le solde des frais de mise en demeure qui lui est réclamé, à savoir 23 fr. 20, relève de rappels et sommations adressées exclusivement à sa mère, A.________.</w:t>
      </w:r>
    </w:p>
    <w:p>
      <w:r>
        <w:rPr>
          <w:b/>
        </w:rPr>
        <w:t>E. 3.2</w:t>
      </w:r>
    </w:p>
    <w:p>
      <w:r>
        <w:t>Il ressort du dossier administratif qu'avant le mois de décembre 2009, la recourante n'a personnellement fait l'objet d'aucun rappel, sommation ou poursuite de la part de la caisse intimée à raison de la prime litigieuse. La caisse intimée s'est systématiquement adressée à la mère de la recourante, débitrice solidaire des primes arriérées. Par conséquent, la caisse intimée ne saurait lui réclamer le remboursement de frais dont elle n'est nullement à l'origine. Dans cette mesure, le recours doit être admis.</w:t>
      </w:r>
    </w:p>
    <w:p>
      <w:r>
        <w:rPr>
          <w:b/>
        </w:rPr>
        <w:t>E. 4</w:t>
      </w:r>
    </w:p>
    <w:p>
      <w:r>
        <w:t>Sur le vu de ce qui précède, le recours doit être partiellement admis. Les frais judiciaires doivent être mis proportionnellement à la charge de la recourante et de l'intimée ( art. 66 al. 1 LTF ). La recourante a par ailleurs sollicité le bénéfice de l'assistance judiciaire pour l'instance fédérale. Les conditions d'octroi de l'assistance judiciaire gratuite étant réalisées ( art. 64 al. 1 et 2 LTF ), celle-ci lui est accordée, de sorte qu'elle sera dispensée de sa part des frais judiciaires. L'attention de la recourante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