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9C_837/2014 vom 8. April 2015</w:t>
      </w:r>
    </w:p>
    <w:p>
      <w:r>
        <w:t>Bundesgericht, 2015-04-08, DE</w:t>
      </w:r>
    </w:p>
    <w:p>
      <w:r>
        <w:rPr>
          <w:b/>
        </w:rPr>
        <w:t xml:space="preserve">Quelle: </w:t>
      </w:r>
      <w:r>
        <w:t>https://mcp.opencaselaw.ch/entscheid/bger_9C_837_2014</w:t>
      </w:r>
    </w:p>
    <w:p>
      <w:r>
        <w:t>FR: TF 9C_837/2014 du 8 avril 2015</w:t>
      </w:r>
    </w:p>
    <w:p>
      <w:r>
        <w:t>IT: TF 9C_837/2014 del 8 aprile 2015</w:t>
      </w:r>
    </w:p>
    <w:p>
      <w:pPr>
        <w:pStyle w:val="Heading2"/>
      </w:pPr>
      <w:r>
        <w:t>Erwägungen</w:t>
      </w:r>
    </w:p>
    <w:p>
      <w:r>
        <w:rPr>
          <w:b/>
        </w:rPr>
        <w:t>E. 1.1</w:t>
      </w:r>
    </w:p>
    <w:p>
      <w:r>
        <w:t>Gemäss Art. 4 und 5 AHVG werden Sozialversicherungsbeiträge nur vom Erwerbseinkommen erhoben, nicht aber vom Vermögensertrag ( BGE 122 V 178 E. 3b S. 179 f.). Dividenden sind hingegen beitragsfreier Vermögensertrag, weshalb es unter beitragsrechtlichem Gesichtswinkel vorteilhaft erscheinen mag, hohe Dividenden und ein tiefes Salär auszuweisen (SZS 2013 S. 76, 9C_669/2011 E. 2.1).</w:t>
      </w:r>
    </w:p>
    <w:p>
      <w:r>
        <w:rPr>
          <w:b/>
        </w:rPr>
        <w:t>E. 1.2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134 V 297 E. 2 S. 299 f. mit Hinweisen auf BGE 103 V 1 E. 2b S. 4; ZAK 1989 S. 147, E. 2b, H 131/86; Pra 86/1997 Nr. 96 S. 520 f., E. 4b, H 241/96; Urteil des Eidg. Versicherungsgerichts H 49/02 vom 19. November 2002, E. 4.1; siehe auch Paul Cadotsch, Unternehmenssteuerreform II: Dividenden und AHV-Beiträge, in: Steuerrevue StR 1/2009, S. 47 ff.).</w:t>
      </w:r>
    </w:p>
    <w:p>
      <w:r>
        <w:rPr>
          <w:b/>
        </w:rPr>
        <w:t>E. 1.3</w:t>
      </w:r>
    </w:p>
    <w:p>
      <w:r>
        <w:t>Dabei muss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für die geleistete Arbeit und andererseits ein angemessener Vermögensertrag zugrunde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Wie im AHV-Recht (E. 2.2),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134 V 297 E. 2.2 S. 300 f.).</w:t>
      </w:r>
    </w:p>
    <w:p>
      <w:r>
        <w:rPr>
          <w:b/>
        </w:rPr>
        <w:t>E. 1.4</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134 V 297 E. 2.8 S. 304).</w:t>
      </w:r>
    </w:p>
    <w:p>
      <w:r>
        <w:rPr>
          <w:b/>
        </w:rPr>
        <w:t>E. 1.5</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 BGE 103 V 1 E. 2c S. 4; ZAK 1989 S. 148 E. 2c). Die Parallelität zwischen sozialversicherungs- und steuerrechtlicher Qualifikation ist nicht leichthin preiszugeben (SZS 2013 S. 76, 9C_669/2011).</w:t>
      </w:r>
    </w:p>
    <w:p>
      <w:r>
        <w:rPr>
          <w:b/>
        </w:rPr>
        <w:t>E. 2.1</w:t>
      </w:r>
    </w:p>
    <w:p>
      <w:r>
        <w:t>Die Vorinstanz stellt fest, dass die B.________ in den Jahren 2009 und 2010 ausbezahlten Löhne von Fr. 120'000.- und Fr. 180'000.- nicht offensichtlich zu tief gewesen seien. Gleichwohl erachtete sie einen vollständigen Verzicht auf eine Lohnaufrechnung, wie er sich aus der Rechtsprechung ergeben würde, als nicht sachgerecht. Bei Verhältnissen wie vorliegend, die keinen hohen Kapitaleinsatz erfordern, sei nicht ersichtlich, wozu die Beschwerdeführerin ein Kapital von Fr. 220'208.- (2009) und sogar Fr. 509'387.- (2010; Steuerwert der Wertschriften) benötigen solle, das dann einen entsprechenden Betrag abwerfen könnte. Bestehe nur ein marginaler Kapitalbedarf (und damit Kapitaleinsatz), sei auch nicht von substanziellen Kapitalerträgen auszugehen. Es sei daher anzunehmen, dass zumindest ein Teil der als Dividende deklarierten Bezüge des Gesellschafters nicht auf den Einsatz von Kapital, sondern auf dessen Arbeitsleistung als Angestellter der Beschwerdeführerin zurückzuführen ist. Es verhalte sich damit ähnlich wie bei Tantiemen an Mitglieder der Verwaltung oder der geschäftsführenden Organe, die ebenfalls aus dem Reingewinn ausgeschüttet werden und kraft ausdrücklicher gesetzlicher Regelung ( Art. 7 lit. h AHVV ) als massgebender Lohn der Beitragspflicht unterliegen.</w:t>
      </w:r>
    </w:p>
    <w:p>
      <w:r>
        <w:rPr>
          <w:b/>
        </w:rPr>
        <w:t>E. 2.2</w:t>
      </w:r>
    </w:p>
    <w:p>
      <w:r>
        <w:t>Die Beschwerdeführerin wendet ein, nach der Rechtsprechung ( BGE 134 V 297 ; SVR 2013 AHV Nr. 4 S. 15 [9C_669/2011]) sei die Umqualifikation einer Dividende in massgebenden Lohn nur zulässig, wenn kumulativ sowohl ein unangemessen tiefer Lohn mit einer im Vergleich zum eingesetzten Kapital unangemessen hohen Dividende einhergeht. Bei einem Lohn in angemessener Höhe bleibe kein Raum, um von der steuerrechtlichen Qualifikation abzuweichen und statt von einer Dividende von massgebendem Lohn auszugehen. Die von B.________ als Arbeitnehmer der Gesellschaft bezogenen Entschädigungen von Fr. 120'000.- für 2009 und Fr. 180'000.- für das Jahr 2010 seien angemessen, jedenfalls nicht unangemessen tief.</w:t>
      </w:r>
    </w:p>
    <w:p>
      <w:r>
        <w:rPr>
          <w:b/>
        </w:rPr>
        <w:t>E. 2.3</w:t>
      </w:r>
    </w:p>
    <w:p>
      <w:r>
        <w:t>Den Vorbringen der Beschwerdeführerin ist beizupflichten. Von einem offensichtlichen Missverhältnis zwischen der Arbeitsleistung von B.________ und dem von diesem in den Jahren 2009 und 2010 hiefür bezogenen Entgelten von Fr. 120'000.- und Fr. 180'000.- kann nicht die Rede sein, was auch die Vorinstanz zutreffend festgehalten hat. Es braucht daher entgegen den Ausführungen im angefochtenen Entscheid nicht zusätzlich geprüft zu werden, ob zwischen dem eingesetzten Vermögen und der ausgeschütteten Dividende ein solches Missverhältnis besteht; denn die erwähnten Voraussetzungen für eine Abweichung von der Qualifikation der Einkommensbestandteile durch die Steuerbehörde müssen nach der Rechtsprechung kumulativ erfüllt sein, was das kantonale Gericht verkennt und zur Aufhebung seines Entscheides führt.</w:t>
      </w:r>
    </w:p>
    <w:p>
      <w:r>
        <w:rPr>
          <w:b/>
        </w:rPr>
        <w:t>E. 3</w:t>
      </w:r>
    </w:p>
    <w:p>
      <w:r>
        <w:t>Dem Verfahrensausgang entsprechend sind die Gerichtskosten der unterliegenden Ausgleichskasse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