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9C_836/2014 vom 23. März 2015</w:t>
      </w:r>
    </w:p>
    <w:p>
      <w:r>
        <w:t>Bundesgericht, 2015-03-23, DE</w:t>
      </w:r>
    </w:p>
    <w:p>
      <w:r>
        <w:rPr>
          <w:b/>
        </w:rPr>
        <w:t xml:space="preserve">Quelle: </w:t>
      </w:r>
      <w:r>
        <w:t>https://mcp.opencaselaw.ch/entscheid/bger_9C_836_2014</w:t>
      </w:r>
    </w:p>
    <w:p>
      <w:r>
        <w:t>FR: TF 9C_836/2014 du 23 mars 2015</w:t>
      </w:r>
    </w:p>
    <w:p>
      <w:r>
        <w:t>IT: TF 9C_836/2014 del 23 marzo 2015</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(zum Begriff der Willkür in der Rechtsanwendung siehe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(vgl. BGE 134 II 244 E. 2.2 S. 246 mit Hinweis).</w:t>
      </w:r>
    </w:p>
    <w:p>
      <w:r>
        <w:rPr>
          <w:b/>
        </w:rPr>
        <w:t>E. 2</w:t>
      </w:r>
    </w:p>
    <w:p>
      <w:r>
        <w:t>Neue Tatsachen und Beweismittel dürfen nur soweit vorgebracht werden, als erst der Entscheid der Vorinstanz dazu Anlass gibt, was in der Beschwerde näher darzulegen ist ( Art. 99 Abs. 1 BGG ; BGE 135 V 194 E. 3 S. 196 f.; Urteile 8C_140/2008 vom 25. Februar 2009 E. 5.1 und 8C_826/2008 vom 2. April 2009 E. 3). Der Beschwerdeführer reicht letztinstanzlich verschiedene Beilagen ein, wobei der Bericht des Dr. med. L.________, FMH Psychiatrie und Psychotherapie, vom 28. Oktober 2013 bereits im Verfahren bei der Vorinstanz vorgelegt wurde. Jenem Bericht lag jedoch nur ein Schreiben an den vertrauensärztlichen Dienst der Krankenversicherung M.________ bei, das schon im Verfahren bei der Beschwerdegegnerin präsentiert worden war, währenddem die Schreiben des Dr. med. L.________ vom 15. April 2013 und vom 11. Mai 2012 dort nicht vorhanden sind. Da der Beschwerdeführer nicht erläutert, warum die Schreiben des Dr. med. L.________ vom 15. April 2013 sowie vom 11. und 15. Mai 2012, ebenso wie der Bericht der Frau Dr. med. N.________ vom 30. Januar 2014, die allesamt bereits im kantonalen Prozess hätten aufgelegt werden können, erst im letztinstanzlichen Verfahren eingereicht werden, hat deren Berücksichtigung vorliegend zu unterbleiben. Inwieweit sodann der vorinstanzliche Entscheid (vom 30. September 2014) im Sinne von Art. 99 Abs. 1 BGG Anlass zur Einreichung der Berichte des Dr. med. L.________ vom 9. November 2014 und der Frau Dr. med. N.________ vom 13. November 2014 gegeben hat, vermag der Beschwerdeführer sodann nicht darzutun. Diese Noven sind damit unzulässig.</w:t>
      </w:r>
    </w:p>
    <w:p>
      <w:r>
        <w:rPr>
          <w:b/>
        </w:rPr>
        <w:t>E. 3</w:t>
      </w:r>
    </w:p>
    <w:p>
      <w:r>
        <w:t>Der Beschwerdeführer macht geltend, die depressive Störung, die vom Gutachter Dr. med. K.________ diagnostiziert wurde, sei invalidisierend. Die Vorinstanz hat demgegenüber festgehalten, dass diese beim Beschwerdeführer invalidenversicherungsrechtlich keine Einschränkung der Arbeitsfähigkeit zu begründen vermöge.</w:t>
      </w:r>
    </w:p>
    <w:p>
      <w:r>
        <w:rPr>
          <w:b/>
        </w:rPr>
        <w:t>E. 3.1</w:t>
      </w:r>
    </w:p>
    <w:p>
      <w:r>
        <w:t>Wie das Bundesgericht wiederholt erkannt hat, sind leichte bis höchstens mittelschwere Störungen aus dem depressiven Formenkreis therapierbar und führen invalidenversicherungsrechtlich zu keiner Einschränkung der Arbeitsfähigkeit (Urteile 9C_474/2013 vom 20. Februar 2014 E. 5.4, 9C_696/2012 vom 19. Juni 2013 E. 4.3.2.1, 9C_250/2012 vom 29. November 2012 E. 5, 9C_736/2011 vom 7. Februar 2012 E. 4.2.2.1 sowie 9C_917/2012 E. 3.2 vom 14. August 2013).</w:t>
      </w:r>
    </w:p>
    <w:p>
      <w:r>
        <w:rPr>
          <w:b/>
        </w:rPr>
        <w:t>E. 3.2</w:t>
      </w:r>
    </w:p>
    <w:p>
      <w:r>
        <w:t>Die Vorinstanz hat aufgrund zahlreicher fachärztlicher Stellungnahmen in mehreren medizinischen Gutachten verbindlich festgestellt, dass von einer regelmässigen adäquaten medikamentösen und therapeutischen Behandlung der depressiven Störung keine Rede sein könne. Der Beschwerdeführer behauptet, dies sei aktenwidrig und falsch. Soweit er sich dabei auf die von ihm erstmals im letztinstanzlichen Verfahren eingereichten Akten beruft, haben diese, wie vorstehend dargelegt (E. 2 hievor), unberücksichtigt zu bleiben.</w:t>
      </w:r>
    </w:p>
    <w:p>
      <w:r>
        <w:rPr>
          <w:b/>
        </w:rPr>
        <w:t>E. 3.3</w:t>
      </w:r>
    </w:p>
    <w:p>
      <w:r>
        <w:t>Bereits im fachpsychiatrischen Gutachten der MEDAS vom 6. Januar 2003 betrachteten Frau Dr. med. O.________, Assistenzärztin, und Dr. med. P.________, Oberarzt, die Behandlung als noch nicht ausgeschöpft. Dabei hielten sie fest, dass die Medikation offenbar wegen Magenproblemen abgesetzt worden sei, wobei keine Diagnosen der MEDAS-Gutachter auf eine irgendwie geartete Erkrankung im Magenbereich hinwiesen. Im ZMB-Gutachten vom 12. Dezember 2006 wurde festgehalten, die medikamentöse Therapie sei zu überdenken. Dr. med. E.________ führte aufgrund der von ihm durchgeführten Begutachtung aus, dass der Versicherte angeblich in psychiatrischer Behandlung gestanden habe. Meistens habe er diese abgebrochen, weil ihm die Krankheitseinsicht fehlte oder er die therapeutischen Massnahmen für falsch hielt, diese sogar als gesundheitsschädigend betrachtete. Dr. med. K.________ schliesslich beanstandete zentral die Behandlung des Beschwerdeführers durch Dr. med. L.________ mit Ritalin. Aus diesen Angaben verschiedener Psychiater, die den Beschwerdeführer in der Vergangenheit begutachtet hatten, kann entgegen der von diesem vertretenen Auffassung nicht geschlossen werden, dass bei ihm eine adäquate medikamentöse und therapeutische Behandlung der depressiven Symptomatik stattgefunden habe. Dr. med. L.________ behandelte den Beschwerdeführer entgegen der klaren Kontraindikation, die von Dr. med. K.________ erläutert wird, mit Ritalin. Dabei gab er an, dem Versicherten mit der Therapie lediglich eine "Vita minima" zu ermöglichen. Eine solche "Vita minima" lässt sich aber kaum begründen, wenn der Beschwerdeführer gleichzeitig offensichtlich in der Lage ist, selber Auto zu fahren, auch wenn anscheinend nur für kurze Strecken. Diese Tatsache belegt, wie Dr. med. K.________ bemerkt, dass der Versicherte angesichts der damit verbundenen enormen motorischen und kognitiven Anforderungen über nicht unerhebliche Ressourcen verfügt, was kaum mit der von Dr. med. L.________ erwähnten "Vita minima" korrespondiert. Vielmehr erfordert das Lenken eines Motorfahrzeugs gerade in der Agglomeration Zürich, wo der Beschwerdeführer wohnhaft ist, mit Rücksicht auf den dichten Strassenverkehr besondere Aufmerksamkeit und Konzentration.</w:t>
      </w:r>
    </w:p>
    <w:p>
      <w:r>
        <w:t>Der Versicherte vermag nicht aufzuzeigen, dass er in der Vergangenheit das Erforderliche unternommen hat, um die depressive Symptomatik hinreichend behandeln zu lassen. Entgegen seiner Ansicht liegt bei ihm gerade keine Persönlichkeitsstörung vor. Diese Diagnose wurde von Dr. med. K.________ explizit verworfen, weshalb der Versicherte eine solche Störung nicht als Argument für die unterbliebene Behandlung der depressiven Symptomatik anführen kann. Soweit sich der Beschwerdeführer darauf berufen will, dass die Privatgutachterin Frau Dr. med. F.________ die psychiatrische Behandlung als "lege artis" durchgeführt betrachtete, so ist diese Auffassung doch singulär und stimmt nicht mit den gutachterlichen Feststellungen der MEDAS, des Zentrums D.________ und des Dr. med. K.________ überein. Im Übrigen wurde bereits im Rahmen des Urteils 9C_869/2011 vom 18. April 2012 in E.4.2 darauf hingewiesen, dass der Gutachter Dr. med. E.________ die Einschätzung von Frau Dr. med. F.________ mit überzeugenden Argumenten in Frage gestellt hat.</w:t>
      </w:r>
    </w:p>
    <w:p>
      <w:r>
        <w:rPr>
          <w:b/>
        </w:rPr>
        <w:t>E. 3.4</w:t>
      </w:r>
    </w:p>
    <w:p>
      <w:r>
        <w:t>Aufgrund der medizinischen Unterlagen gelangte die Vorinstanz zu Recht zur Auffassung, dass die depressive Störung die Arbeitsfähigkeit des Versicherten nicht erheblich beeinträchtigt. Bei dieser Folgerung handelt es sich weder um eine offensichtlich unrichtige Sachverhaltsfeststellung noch beruht sie auf einer anderweitigen Bundesrechtsverletzung. Was sodann die somatoforme Schmerzstörung betrifft, so geht der Beschwerdeführer selbst davon aus, dass diese keine Arbeitsunfähigkeit begründet. Damit erübrigen sich aber auch Erwägungen zur Frage, ob eine Überwindbarkeit der Beschwerden anzunehmen sei oder nicht.</w:t>
      </w:r>
    </w:p>
    <w:p>
      <w:r>
        <w:rPr>
          <w:b/>
        </w:rPr>
        <w:t>E. 3.5</w:t>
      </w:r>
    </w:p>
    <w:p>
      <w:r>
        <w:t>Da die Vorinstanz ohne Bundesrechtsverletzung annehmen durfte, dass die depressive Störung invalidenversicherungsrechtlich keine anspruchsrelevante Arbeitsunfähigkeit bewirkt und eine solche aufgrund der somatoformen Schmerzstörung als Diagnose ohne Auswirkung auf die Arbeitsfähigkeit nicht anzunehmen ist, hat sie die Leistungspflicht der Invalidenversicherung zu Recht verneint.</w:t>
      </w:r>
    </w:p>
    <w:p>
      <w:r>
        <w:rPr>
          <w:b/>
        </w:rPr>
        <w:t>E. 4</w:t>
      </w:r>
    </w:p>
    <w:p>
      <w:r>
        <w:t>Dem Ausgang des Verfahrens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