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9C_835/2016 vom 17. Mai 2017</w:t>
      </w:r>
    </w:p>
    <w:p>
      <w:r>
        <w:t>Bundesgericht, 2017-05-17, FR</w:t>
      </w:r>
    </w:p>
    <w:p>
      <w:r>
        <w:rPr>
          <w:b/>
        </w:rPr>
        <w:t xml:space="preserve">Quelle: </w:t>
      </w:r>
      <w:r>
        <w:t>https://mcp.opencaselaw.ch/entscheid/bger_9C_835_2016</w:t>
      </w:r>
    </w:p>
    <w:p>
      <w:r>
        <w:t>FR: TF 9C_835/2016 du 17 mai 2017</w:t>
      </w:r>
    </w:p>
    <w:p>
      <w:r>
        <w:t>IT: TF 9C_835/2016 del 17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juridiction cantonale a constaté que la prestation de libre passage de la recourante avait été transférée d'abord à la Fondation de libre passage G.________, puis dès le 1</w:t>
      </w:r>
    </w:p>
    <w:p>
      <w:r>
        <w:t>er avril 2016 à la Fondation de prévoyance E.________. Par conséquent, elle a admis qu'il appartenait à cette dernière de transférer le montant à partager conformément aux considérants de son arrêt du 6 juillet 2016, lequel devait être révisé en application de l'art. 80 de la loi genevoise sur la procédure administrative (LPA-GE, RS-GE E 5 10).</w:t>
      </w:r>
    </w:p>
    <w:p>
      <w:r>
        <w:rPr>
          <w:b/>
        </w:rPr>
        <w:t>E. 2</w:t>
      </w:r>
    </w:p>
    <w:p>
      <w:r>
        <w:t>La recourante se prévaut d'une violation de son droit d'être entendue, car la Cour de justice a fait droit aux conclusions de la Caisse de pensions de B.________ SA du 4 novembre 2016 et modifié le dispositif de son arrêt du 6 juillet 2016 sans l'inviter à s'exprimer.</w:t>
      </w:r>
    </w:p>
    <w:p>
      <w:r>
        <w:rPr>
          <w:b/>
        </w:rPr>
        <w:t>E. 3</w:t>
      </w:r>
    </w:p>
    <w:p>
      <w:r>
        <w:t>Dans la mesure où la recourante soulève un grief d'ordre formel contre le déroulement de la procédure de première instance, soit la violation de son droit d'être entendue ( art. 29 al. 2 Cst. ), celui-ci doit être examiné en premier lieu, car il se pourrait que le Tribunal fédéral accueille le recours sur ce point et renvoie la cause à l'autorité inférieure sans examen du litige au fond (cf. ATF 124 V 90 consid. 2 p. 92 et la référence; arrêt 9C_641/2015 du 21 juin 2016 consid. 2).</w:t>
      </w:r>
    </w:p>
    <w:p>
      <w:r>
        <w:t>En l'espèce, si la recourante a toujours reçu une copie de la correspondance que les différentes parties se sont échangées après le jugement du 6 juillet 2016, il n'en demeure pas moins que le tribunal cantonal ne lui a pas préalablement soumis l'écriture du 4 novembre 2016 pour prise de position avant de rendre son jugement du 9 novembre 2016. Le grief est dès lors bien fondé, ce qui entraîne pour ce seul motif l'annulation du jugement attaqué et le renvoi de la cause à la juridiction cantonale pour nouvelle décision, après avoir respecté le droit de la recourante et des autres parties d'être entendues.</w:t>
      </w:r>
    </w:p>
    <w:p>
      <w:r>
        <w:t>Vu l'issue du litige, la requête d'attribution de l'effet suspensif au recours n'a plus d'objet.</w:t>
      </w:r>
    </w:p>
    <w:p>
      <w:r>
        <w:rPr>
          <w:b/>
        </w:rPr>
        <w:t>E. 4</w:t>
      </w:r>
    </w:p>
    <w:p>
      <w:r>
        <w:t>La Caisse de pensions de B.________ SA, qui succombe, supportera les frais de la procédure ( art. 66 al. 1 LTF ) ainsi que les dépens de la recourante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