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9C_833/2019 vom 20. Januar 2020</w:t>
      </w:r>
    </w:p>
    <w:p>
      <w:r>
        <w:t>Bundesgericht, 2020-01-20, DE</w:t>
      </w:r>
    </w:p>
    <w:p>
      <w:r>
        <w:rPr>
          <w:b/>
        </w:rPr>
        <w:t xml:space="preserve">Quelle: </w:t>
      </w:r>
      <w:r>
        <w:t>https://mcp.opencaselaw.ch/entscheid/bger_9C_833_2019</w:t>
      </w:r>
    </w:p>
    <w:p>
      <w:r>
        <w:t>FR: TF 9C_833/2019 du 20 janvier 2020</w:t>
      </w:r>
    </w:p>
    <w:p>
      <w:r>
        <w:t>IT: TF 9C_833/2019 del 20 gennaio 2020</w:t>
      </w:r>
    </w:p>
    <w:p>
      <w:pPr>
        <w:pStyle w:val="Heading2"/>
      </w:pPr>
      <w:r>
        <w:t>Volltext</w:t>
      </w:r>
    </w:p>
    <w:p>
      <w:r>
        <w:t>Bundesgericht</w:t>
      </w:r>
    </w:p>
    <w:p>
      <w:r>
        <w:t>Tribunal fédéral</w:t>
      </w:r>
    </w:p>
    <w:p>
      <w:r>
        <w:t>Tribunale federale</w:t>
      </w:r>
    </w:p>
    <w:p>
      <w:r>
        <w:t>Tribunal federal</w:t>
      </w:r>
    </w:p>
    <w:p>
      <w:r>
        <w:t>9C_833/2019</w:t>
      </w:r>
    </w:p>
    <w:p>
      <w:r>
        <w:t>Urteil vom 20. Januar 2020</w:t>
      </w:r>
    </w:p>
    <w:p>
      <w:r>
        <w:t>II. sozialrechtliche Abteilung</w:t>
      </w:r>
    </w:p>
    <w:p>
      <w:r>
        <w:t>Besetzung</w:t>
      </w:r>
    </w:p>
    <w:p>
      <w:r>
        <w:t>Bundesrichter Parrino, Präsident,</w:t>
      </w:r>
    </w:p>
    <w:p>
      <w:r>
        <w:t>Gerichtsschreiber Grünenfelder.</w:t>
      </w:r>
    </w:p>
    <w:p>
      <w:r>
        <w:t>Verfahrensbeteiligte</w:t>
      </w:r>
    </w:p>
    <w:p>
      <w:r>
        <w:t>A.________,</w:t>
      </w:r>
    </w:p>
    <w:p>
      <w:r>
        <w:t>Beschwerdeführer,</w:t>
      </w:r>
    </w:p>
    <w:p>
      <w:r>
        <w:t>gegen</w:t>
      </w:r>
    </w:p>
    <w:p>
      <w:r>
        <w:t>Pensionskasse Stadt Zürich, Morgartenstrasse 30, 8004 Zürich,</w:t>
      </w:r>
    </w:p>
    <w:p>
      <w:r>
        <w:t>Beschwerdegegnerin.</w:t>
      </w:r>
    </w:p>
    <w:p>
      <w:r>
        <w:t>Gegenstand</w:t>
      </w:r>
    </w:p>
    <w:p>
      <w:r>
        <w:t>Berufliche Vorsorge,</w:t>
      </w:r>
    </w:p>
    <w:p>
      <w:r>
        <w:t>Beschwerde gegen den Entscheid des Sozialversicherungsgerichts des Kantons Zürich vom 6. November 2019 (BV.2019.00072).</w:t>
      </w:r>
    </w:p>
    <w:p>
      <w:r>
        <w:t>Nach Einsicht</w:t>
      </w:r>
    </w:p>
    <w:p>
      <w:r>
        <w:t>in die Beschwerde vom 14. Dezember 2019 (Poststempel) gegen den Entscheid des Sozialversicherungsgerichts des Kantons Zürich vom 6. November 2019 betreffend berufliche Vorsorge (Höhe der Altersrente),</w:t>
      </w:r>
    </w:p>
    <w:p>
      <w:r>
        <w:t>in die Mitteilung des Bundesgerichts vom 17. Dezember 2019 an A.________, worin auf die gesetzlichen Formerfordernisse von Beschwerden hinsichtlich Begehren und Begründung sowie auf die nur innert der Rechtsmittelfrist noch bestehende Verbesserungsmöglichkeit hingewiesen worden ist,</w:t>
      </w:r>
    </w:p>
    <w:p>
      <w:r>
        <w:t>in die daraufhin von A.________ am 23. Dezember 2019 (Poststempel)eingereichte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worin eine Verletzung von Bundesrecht liegt ( BGE 134 V 53 E. 3.3 S. 60 und 133 IV 286 E. 1.4 S. 287), während rein appellatorische Kritik nicht genügt (vgl. BGE 140 III 264 E. 2.3 S. 266),</w:t>
      </w:r>
    </w:p>
    <w:p>
      <w:r>
        <w:t>dass die beiden Eingaben des Beschwerdeführers vom 14. und 23. Dezember 2019 diesen inhaltlichen Mindestanforderungen offensichtlich nicht genügen, da sie zwar ein Rechtsbegehren enthalten, den Ausführungen jedoch nichts entnommen werden kann, was darauf hindeutete, die vorinstanzlichen Sachverhaltsfeststellungen seien im Sinne von Art. 97 Abs. 1 BGG - soweit überhaupt beanstandet - qualifiziert unzutreffend (unhaltbar, willkürlich; BGE 140 V 22 E. 7.3.1 S. 39; 135 II 145 E. 8.1 S. 153) und die darauf beruhenden Erwägungen rechtsfehlerhaft (vgl. Art. 95 BGG ),</w:t>
      </w:r>
    </w:p>
    <w:p>
      <w:r>
        <w:t>dass dies insbesondere zutrifft auf die Erwägung der Vorinstanz, wonach nicht ersichtlich sei, inwiefern die Beschwerdegegnerin eine falsche Berechnung der geschuldeten reglementarischen BVG-Altersrente vorgenommen oder in diesem Zusammenhang die Grundsätze der Rechtsgleichheit ( Art. 8 Abs. 1 BV ), des Willkürverbots ( Art. 9 BV ) und der Verhältnismässigkeit ( Art. 5 Abs. 2 BV ) verletzt haben soll, und weder das Dreisäulenprinzip der Altersvorsorge noch die in der Bundesverfassung beschriebenen Ziele der beruflichen Vorsorge ( Art. 113 BV ) konkrete individuelle Rentenansprüche vermittelten,</w:t>
      </w:r>
    </w:p>
    <w:p>
      <w:r>
        <w:t>dass sich der Beschwerdeführer demgegenüber einzig darauf beschränkt, in Wiederholung des im kantonalen Verfahren Vorgebrachten seine eigene Sicht der Dinge darzulegen (vgl. dazu BGE 134 II 244 E. 2.1-2.3 S. 245 ff.), seinen monatlichen Bedarf (Fr. 3775.-) dem Einkommen nach der Pensionierung gegenüber zu stellen (Fr. 3019.90) und gestützt darauf die Überweisung der Hälfte seines Pensionskassenkapitals auf sein Bankkonto zu verlangen, ohne sich sachbezogen mit dem angefochtenen Entscheid auseinander zu setzen, was nicht genügt,</w:t>
      </w:r>
    </w:p>
    <w:p>
      <w:r>
        <w:t>dass deshalb im vereinfachten Verfahren nach Art. 108 Abs. 1 lit. b BGG auf die Beschwerde nicht einzutreten ist,</w:t>
      </w:r>
    </w:p>
    <w:p>
      <w:r>
        <w:t>dass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20. Januar 2020</w:t>
      </w:r>
    </w:p>
    <w:p>
      <w:r>
        <w:t>Im Namen der II. sozialrechtlichen Abteilung</w:t>
      </w:r>
    </w:p>
    <w:p>
      <w:r>
        <w:t>des Schweizerischen Bundesgerichts</w:t>
      </w:r>
    </w:p>
    <w:p>
      <w:r>
        <w:t>Der Präsident: Parrino</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