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831/2017 vom 3. April 2018</w:t>
      </w:r>
    </w:p>
    <w:p>
      <w:r>
        <w:t>Bundesgericht, 2018-04-03, FR</w:t>
      </w:r>
    </w:p>
    <w:p>
      <w:r>
        <w:rPr>
          <w:b/>
        </w:rPr>
        <w:t xml:space="preserve">Quelle: </w:t>
      </w:r>
      <w:r>
        <w:t>https://mcp.opencaselaw.ch/entscheid/bger_9C_831_2017</w:t>
      </w:r>
    </w:p>
    <w:p>
      <w:r>
        <w:t>FR: TF 9C 831/2017 du 3 avril 2018</w:t>
      </w:r>
    </w:p>
    <w:p>
      <w:r>
        <w:t>IT: TF 9C 831/2017 del 3 aprile 2018</w:t>
      </w:r>
    </w:p>
    <w:p>
      <w:pPr>
        <w:pStyle w:val="Heading2"/>
      </w:pPr>
      <w:r>
        <w:t>Regeste</w:t>
      </w:r>
    </w:p>
    <w:p>
      <w:r>
        <w:t>Assurance-invalidité (évaluation de l'impotence; surveillance personnelle permanente) | Assurance-invalidité</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1.2</w:t>
      </w:r>
    </w:p>
    <w:p>
      <w:r>
        <w:t>L'interprétation et l'application correctes de la notion juridique de l'impotence, ainsi que les exigences relatives à la valeur probante de rapports d'enquête au domicile de l'assuré relèvent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p. 398 s.; arrêts 9C_425/2014 du 26 septembre 2014 consid. 1.2 et 9C_410/2009 du 1er avril 2010 consid. 3). Est également une question de fait, celle de savoir si les éléments constitutifs d'une surveillance personnelle permanente au sens de la loi et de la jurisprudence sont réalisés dans un cas concret (arrêts 9C_907/2011 du 21 mai 2012 consid. 1.2; 9C_431/2008 du 26 février 2009 consid. 3.2 et les arrêts cités).</w:t>
      </w:r>
    </w:p>
    <w:p>
      <w:r>
        <w:rPr>
          <w:b/>
        </w:rPr>
        <w:t>E. 2</w:t>
      </w:r>
    </w:p>
    <w:p>
      <w:r>
        <w:t>Le litige a trait à l'étendue du droit de l'intimé à une allocation pour impotent de l'assurance-invalidité (droit à une allocation pour impotent de degré faible en lieu et place d'une allocation pour impotent de degré moyen). Dès lors que l'office recourant ne conteste pas que l'intimé présente un besoin d'aide pour accomplir trois actes ordinaires de la vie, est seule litigieuse, en instance fédérale, la question de savoir si celui-ci nécessite une surveillance personnelle permanente ( art. 37 al. 2 let. b RAI ).</w:t>
      </w:r>
    </w:p>
    <w:p>
      <w:r>
        <w:rPr>
          <w:b/>
        </w:rPr>
        <w:t>E. 3.1</w:t>
      </w:r>
    </w:p>
    <w:p>
      <w:r>
        <w:t>Selon la jurisprudence, la notion de surveillance personnelle permanente au sens de l'art. 37 al. 2 let. b et al. 3 let. b RAI, qui est traduite en temps destiné à apporter de l'aide supplémentaire (cf. art. 39 al. 3 RAI ),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 ATF 107 V 136 consid. 1b p. 139; 106 V 153 c. 2a p. 158; arrêts 9C_598/2014 du 21 avril 2015 consid. 5.2.1; 8C_158/2008 du 15 octobre 2008 consid. 5.2.1; 9C_608/2007 du 31 janvier 2008 consid. 2.2.1 et les références).</w:t>
      </w:r>
    </w:p>
    <w:p>
      <w:r>
        <w:rPr>
          <w:b/>
        </w:rPr>
        <w:t>E. 3.2</w:t>
      </w:r>
    </w:p>
    <w:p>
      <w:r>
        <w:t>En vertu de l' art. 37 al. 4 RAI , l'impotence des mineurs doit être évaluée en prenant en considération uniquement le surcroît d'aide et de surveillance que le mineur handicapé nécessite par rapport à un mineur du même âge et en bonne santé. Afin de faciliter l'évaluation de l'impotence déterminante des mineurs, des lignes directrices figurent dans l'annexe III de la Circulaire sur l'invalidité et l'impotence dans l'assurance-invalidité (CIIAI) établie par l'Office fédéral des assurances sociales (arrêts 9C_360/2014 du 14 octobre 2014 consid. 4.5 et 8C_158/2008 du 15 octobre 2008 consid. 5.2.2). Dans cette annexe, il est indiqué qu'avant l'âge de six ans, une surveillance personnelle ne doit en règle générale pas être prise en considération (sur la portée des directives de l'administration, cf. ATF 133 V 257 consid. 3.2 p. 258; 131 V 42 consid. 2.3 p. 45 s.). En fonction de la situation et du degré de gravité, un besoin de surveillance peut cependant être reconnu dès l'âge de quatre ans déjà, notamment si l'enfant présente un autisme infantile (arrêt 8C_158/2008 du 15 octobre 2008 consid. 5.2.2 et les références).</w:t>
      </w:r>
    </w:p>
    <w:p>
      <w:r>
        <w:rPr>
          <w:b/>
        </w:rPr>
        <w:t>E. 4</w:t>
      </w:r>
    </w:p>
    <w:p>
      <w:r>
        <w:t>L'office recourant reproche aux premiers juges d'avoir fait preuve d'arbitraire dans l'établissement des faits et d'avoir violé le droit fédéral en retenant que l'intimé nécessite une surveillance personnelle permanente. Selon lui, les médecins et psychologues traitants de l'assuré n'indiquent pas que ce dernier constitue un danger pour lui-même ou pour autrui. Par ailleurs, dans son rapport d'enquête sur l'impotence, l'enquêtrice a exclu le besoin d'une surveillance personnelle permanente; elle a relevé que l'intimé "ne fait pas de sottises", qu'il ne tente pas de s'enfuir et que l'appartement n'est pas sécurisé. L'administration relève au demeurant qu'un besoin de surveillance personnelle permanente ne peut être admis dès l'âge de quatre ans chez les enfants autistes que si un certain niveau de gravité est atteint, respectivement si la surveillance est qualifiable de particulièrement intense, ce qui n'est pas le cas en l'espèce, comme les premiers juges l'ont d'ailleurs eux-même admis. Dans la mesure où l'assuré présente un besoin d'aide pour accomplir trois actes ordinaires de la vie, sans qu'une surveillance personnelle permanente ne soit nécessaire, un droit à une allocation pour impotent de degré faible devait lui être reconnu.</w:t>
      </w:r>
    </w:p>
    <w:p>
      <w:r>
        <w:rPr>
          <w:b/>
        </w:rPr>
        <w:t>E. 5.1</w:t>
      </w:r>
    </w:p>
    <w:p>
      <w:r>
        <w:t>Les premiers juges ont admis que l'intimé représente un danger pour lui-même ou pour les autres et donc que les conditions d'une surveillance personnelle permanente sont réalisées; pour ce faire, ils se sont fondés sur les déclarations de la mère de l'assuré, qui a fait état de crises de colère se produisant entre une et trois fois par semaine et durant lesquels son fils lance des objets au sol, tape contre les meubles, se frappe lui-même ou autrui, voire mord. L'instance précédente s'est en revanche distancée de l'avis de l'enquêtrice, qui avait nié le besoin d'une surveillance personnelle permanente. Dans le cadre de l'évaluation de la nécessité d'une telle surveillance, la juridiction cantonale a écarté le fait que l'intimé joue avec des objets dont il ne se rend pas compte de la dangerosité (les boutons des plaques électriques, par exemple), dans la mesure où, en vertu de l'obligation de diminuer le dommage, il incombe aux parents de prendre les mesures nécessaires en vue d'assurer la sécurité (arrêt 9C_76/2009 du 19 septembre 2016 consid. 3.2.2); elle n'a pas non plus pris en considération le fait que l'assuré ne fait pas attention à la circulation quand il sort (si bien qu'il est nécessaire de le tenir par la main sans arrêt), dès lors que cette circonstance ne requiert pas une surveillance différente de celle d'un enfant du même âge.</w:t>
      </w:r>
    </w:p>
    <w:p>
      <w:r>
        <w:rPr>
          <w:b/>
        </w:rPr>
        <w:t>E. 5.2</w:t>
      </w:r>
    </w:p>
    <w:p>
      <w:r>
        <w:t>Au regard des constatations cantonales, on ne voit pas si le degré d'intensité requis pour admettre la nécessité d'une surveillance personnelle permanente au sens de l' art. 37 al. 2 let. b RAI est ou non réalisé. Si la juridiction cantonale a certes retenu la survenance d'accès de colère une à trois fois par semaine (avec lancement d'objets et coups sur des meubles et à soi-même), on ne saurait sans indications complémentaires admettre que ces crises revêtent une intensité telle que l'enfant se mette en danger et nécessite davantage de surveillance qu'un enfant de son âge qui réagirait en cas de vive colère. Les crises mises en évidence par la juridiction cantonale ont été mentionnées par l'enquêtrice qui ne leur a pas accordé d'importance déterminante, compte tenu de la description faite par la mère, alors que celle-ci n'a pas donné plus de précisions sur les conséquences concrètes des accès de colère de son fils. De son côté, la pédiatre traitante a mentionné la nécessité d'une surveillance accrue par rapport à un enfant du même âge, en précisant que son patient présente un tel besoin "depuis l'âge de 2 ans"; elle n'a toutefois pas motivé ses conclusions, comme le reconnaissent au demeurant les premiers juges (rapport de la doctoresse C.________ du 6 février 2017). Quant aux constatations de l'employée du Service éducatif itinérant (SEI), qui suit l'intimé depuis plus d'une année, et selon laquelle, en raison de son handicap, ce dernier est beaucoup moins autonome et responsable qu'un enfant de son âge, et "se met sans arrêt en danger (allume les plaques électriques, ne fait pas attention à la circulation...) " (rapport du 16 janvier 2017), elles ne permettent pas non plus de circonscrire l'étendue du danger encouru par l'assuré en raison de ses accès de colère. Elles se rapportent en effet à des actes dont le danger peut être écarté dans le cadre de l'obligation de diminuer le dommage comme l'a constaté la juridiction cantonale (consid. 5.1 supra). Les autres professionnels appelés à se prononcer n'indiquent pas non plus, comme le relève l'administration, que l'intimé représente un danger pour lui-même ou pour autrui (rapport du docteur D.________, spécialiste en psychiatrie et psychothérapie, et de la psychologue E.________, du 4 novembre 2015, et rapport de la psychologue F.________ du 15 novembre 2016). Si le docteur D.________ et la psychologue F.________ ont certes mentionné que l'assuré "ne tolère pas d'être interrompu dans un jeu", qu'il "manifeste sa colère avec énergie et endurance" et qu'il "recourt à des jeux stéréotypés tels que jeter les objets au sol", de telles constatations ne mettent pas en évidence de circonstances concrètes dans lesquelles l'assuré aurait besoin d'une surveillance personnelle permanente. Le fait que l'intimé soit pris de crises de colère durant lesquelles il accomplit des actes agressifs n'est certes pas anodin; toutefois, en l'absence de précisions quant à l'intensité et aux effets de ces crises (en relation notamment avec le risque d'auto-agression, comp. arrêt 8C_158/2008 du 15 octobre 2008), il n'est pas possible de se prononcer en connaissance de cause sur l'ampleur du danger auquel celles-ci l'exposent et, partant, sur la nécessité d'une aide ou surveillance personnelle permanente. En conséquence, la cause doit être renvoyée à l'office intimé pour qu'il complète son instruction, par exemple, en requérant des précisions auprès de la pédiatre de l'enfant, de sa mère ou de tiers intervenants. Dans ce cadre, il lui appartiendra également d'examiner si la situation qui prévalait avant le sixième anniversaire de l'assuré justifie d'appliquer la limite d'âge de quatre ans prévue dans l'annexe III de la CIIAI, en fonction aussi d'une éventuelle variation de l'intensité du besoin de surveillance depuis le moment où est, cas échéant, apparu celui-ci.</w:t>
      </w:r>
    </w:p>
    <w:p>
      <w:r>
        <w:rPr>
          <w:b/>
        </w:rPr>
        <w:t>E. 6</w:t>
      </w:r>
    </w:p>
    <w:p>
      <w:r>
        <w:t>Vu le présent arrêt, la requête d'attribution de l'effet suspensif au recours n'a plus d'objet.</w:t>
      </w:r>
    </w:p>
    <w:p>
      <w:r>
        <w:rPr>
          <w:b/>
        </w:rPr>
        <w:t>E. 7</w:t>
      </w:r>
    </w:p>
    <w:p>
      <w:r>
        <w:t>Compte tenu de l'issue du litige, les frais judiciaires sont mis à la charge de l'intimé (art. 66 al. LTF). L'assistance judiciaire lui est cependant accordée dès lors qu'il en remplit les conditions ( art. 64 al. 1 et 2 LTF ). Il est rendu attentif au fait qu'il devra rembourser la Caisse du Tribunal fédéral,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