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9C_831/2010 vom 3. Februar 2011</w:t>
      </w:r>
    </w:p>
    <w:p>
      <w:r>
        <w:t>Bundesgericht, 2011-02-03, DE</w:t>
      </w:r>
    </w:p>
    <w:p>
      <w:r>
        <w:rPr>
          <w:b/>
        </w:rPr>
        <w:t xml:space="preserve">Quelle: </w:t>
      </w:r>
      <w:r>
        <w:t>https://mcp.opencaselaw.ch/entscheid/bger_9C_831_2010</w:t>
      </w:r>
    </w:p>
    <w:p>
      <w:r>
        <w:t>FR: TF 9C_831/2010 du 3 février 2011</w:t>
      </w:r>
    </w:p>
    <w:p>
      <w:r>
        <w:t>IT: TF 9C_831/2010 del 3 febbraio 2011</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Nach Art. 17 Abs. 1 ATSG wird die Invalidenrente von Amtes wegen oder auf Gesuch hin für die Zukunft entsprechend erhöht, herabgesetzt oder aufgehoben, wenn sich der Invaliditätsgrad erheblich ändert (vgl. BGE 133 V 545 ). Umstritten ist, ob sich der Gesundheitszustand der Beschwerdeführerin seit der letztmaligen Überprüfung des Anspruchs (Verfügung vom 16. Dezember 2005) erheblich geändert hat und die Herabsetzung der seit 1. März 2000 ausgerichteten ganzen Invalidenrente auf eine halbe ab 1. September 2009 rechtmässig war.</w:t>
      </w:r>
    </w:p>
    <w:p>
      <w:r>
        <w:rPr>
          <w:b/>
        </w:rPr>
        <w:t>E. 3.1</w:t>
      </w:r>
    </w:p>
    <w:p>
      <w:r>
        <w:t>Im Rahmen ihrer rheumatologischen und psychiatrischen Abklärung (Schlussgutachten vom 16. Dezember 2008) beurteilten die Experten der MEDAS die Versicherte in der angestammten Tätigkeit als vollständig arbeitsunfähig. Massgebend waren die rheumatologischen Befunde (Rückenbeschwerden). Aus rheumatologischer Sicht sei eine leidensangepasste Tätigkeit (d.h. beinahe ausschliesslich sitzend, mit regelmässigen Positionswechseln und Bewegungsmöglichkeiten an einem ergonomisch korrekt eingerichteten Arbeitsplatz) zumutbar. Hier betrachteten sie die Versicherte ab Juli 2007 zu 50 % arbeitsfähig (als Hausfrau zu 70 %). Aus somatisch-rheumatologischer Sicht hätten sich die Befunde verschlechtert, aus psychiatrischer Sicht hätten sie sich aber verbessert und trügen nur noch untergeordnet zur Arbeitsunfähigkeit bei. Die Vorinstanz befand gestützt darauf, dass sich der Gesundheitszustand seit dem letzten Revisionsverfahren verbessert habe, was das MEDAS-Gutachten deutlich zum Ausdruck bringe.</w:t>
      </w:r>
    </w:p>
    <w:p>
      <w:r>
        <w:rPr>
          <w:b/>
        </w:rPr>
        <w:t>E. 3.2</w:t>
      </w:r>
    </w:p>
    <w:p>
      <w:r>
        <w:t>Die Beschwerdeführerin bemängelt den Beweiswert der Expertise und beanstandet die vorinstanzliche Sachverhaltsfeststellung und Beweiswürdigung. Die im Gutachten attestierte Arbeitsfähigkeit von 50 % aus physischen Gründen müsse zusätzlich um die bescheinigte Einschränkung aus psychischen Gründen reduziert werden. Komme man zum Schluss, dass die im psychiatrischen Konsilium attestierte Leistungseinbusse in der Gesamtbeurteilung der Arbeitsfähigkeit im Ergebnis nicht berücksichtigt zu werden brauche, habe die Begründung besonderen Anforderungen zu genügen. Hier sei nicht dargelegt worden, warum die psychisch bedingte Leistungseinbusse sich nicht zusätzlich auf die Arbeitsfähigkeit auswirken soll; dies sei willkürlich und bundesrechtswidrig.</w:t>
      </w:r>
    </w:p>
    <w:p>
      <w:r>
        <w:rPr>
          <w:b/>
        </w:rPr>
        <w:t>E. 3.3</w:t>
      </w:r>
    </w:p>
    <w:p>
      <w:r>
        <w:t>Mehrere, auf verschiedenen Krankheitsfaktoren beruhende Beschwerden können in ihrer Kumulation im Rahmen einer Gesamtbeurteilung einen höheren, aber auch einen niedrigeren Grad an Behinderung ergeben, als dies bei separater Beurteilung (und anschliessender Addition) zutreffen würde (Urteil I 584/04 vom 28. Dezember 2004 E. 3.4). Wie die Vorinstanz mit Recht ausgeführt hat, ist die 50-prozentige Arbeitsfähigkeit in einer Verweistätigkeit, welche die MEDAS-Gutachter sowohl aufgrund der Diagnose einer subsyndromalen Depression (ICD-10 F34.8) als auch der somatischen Beschwerden attestierten, nachvollziehbar, und die Feststellung, wonach sich der Gesundheitszustand der Versicherten insgesamt deutlich verbessert hat, ist nicht offensichtlich unrichtig. Daran ist das Bundesgericht gebunden ( Art. 105 Abs. 1 BGG ). Es fehlt an Anhaltspunkten, die darauf hindeuten, dass die - unbestritten vornehmlich aus somatischen Gründen - um 50 % eingeschränkte Arbeitsfähigkeit unter Berücksichtigung der psychischen Beeinträchtigungen zusätzlich vermindert wäre. Die Herabsetzung der Rente (zwei Jahre nach dem medizinisch attestierten Zeitpunkt der Wiedererlangung einer 50-prozentigen Arbeitsfähigkeit) ist somit korrekt und die beantragten zusätzlichen Abklärungen sind nicht erforderlich.</w:t>
      </w:r>
    </w:p>
    <w:p>
      <w:r>
        <w:rPr>
          <w:b/>
        </w:rPr>
        <w:t>E. 4.1</w:t>
      </w:r>
    </w:p>
    <w:p>
      <w:r>
        <w:t>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(Urteile 9C_768/2009 und 9C_163/2009 vom 10. September 2010, je E. 4).</w:t>
      </w:r>
    </w:p>
    <w:p>
      <w:r>
        <w:rPr>
          <w:b/>
        </w:rPr>
        <w:t>E. 4.2</w:t>
      </w:r>
    </w:p>
    <w:p>
      <w:r>
        <w:t>Die MEDAS und der Regionale Ärztliche Dienst haben hier aus medizinischer Sicht berufliche Massnahmen empfohlen. Anlässlich eines Erstgespräches Arbeitsvermittlung wurde am 18. März 2009 klar, dass die Beschwerdeführerin sich "in keinster Weise" als arbeitsfähig einschätzte; sie stellte sich auf den Standpunkt, man könne sie nicht zur Arbeit zwingen. Da jeglicher Eingliederungswille fehlte, sah die Verwaltung keine Möglichkeiten und schloss das Verfahren ab (vgl. Protokoll vom 18. März 2009). Die Verwaltung ist damit den gestellten Anforderungen nachgekommen. Aufgrund der Akten ist erstellt, dass eine Wiedereingliederung vorab daran gescheitert ist, dass sich der Beschwerdeführerin der Sinn einer solchen nicht erschlossen hat, was sie nicht in Abrede stellt. Die Herabsetzung der Rente ist nach dem Gesagten korrekt erfolgt.</w:t>
      </w:r>
    </w:p>
    <w:p>
      <w:r>
        <w:rPr>
          <w:b/>
        </w:rPr>
        <w:t>E. 5</w:t>
      </w:r>
    </w:p>
    <w:p>
      <w:r>
        <w:t>Die Beschwerde hatte keine Aussicht auf Erfolg, weshalb sie im vereinfachten Verfahren nach Art. 109 BGG als offensichtlich unbegründet (Abs. 2 lit. a), ohne Durchführung des Schriftenwechsels und unter Auferlegung der Gerichtskosten an die unterlegene Beschwerdeführerin ( Art. 66 Abs. 1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