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9C_831/2009 vom 12. August 2010</w:t>
      </w:r>
    </w:p>
    <w:p>
      <w:r>
        <w:t>Bundesgericht, 2010-08-12, FR</w:t>
      </w:r>
    </w:p>
    <w:p>
      <w:r>
        <w:rPr>
          <w:b/>
        </w:rPr>
        <w:t xml:space="preserve">Quelle: </w:t>
      </w:r>
      <w:r>
        <w:t>https://mcp.opencaselaw.ch/entscheid/bger_9C_831_2009</w:t>
      </w:r>
    </w:p>
    <w:p>
      <w:r>
        <w:t>FR: TF 9C_831/2009 du 12 août 2010</w:t>
      </w:r>
    </w:p>
    <w:p>
      <w:r>
        <w:t>IT: TF 9C_831/2009 del 12 agosto 2010</w:t>
      </w:r>
    </w:p>
    <w:p>
      <w:pPr>
        <w:pStyle w:val="Heading2"/>
      </w:pPr>
      <w:r>
        <w:t>Erwägungen</w:t>
      </w:r>
    </w:p>
    <w:p>
      <w:r>
        <w:rPr>
          <w:b/>
        </w:rPr>
        <w:t>E. 1</w:t>
      </w:r>
    </w:p>
    <w:p>
      <w:r>
        <w:t>Le litige porte sur la question de savoir si l'institution recourante peut être tenue de verser une seconde fois le montant de la prestation de libre passage de l'intimé.</w:t>
      </w:r>
    </w:p>
    <w:p>
      <w:r>
        <w:rPr>
          <w:b/>
        </w:rPr>
        <w:t>E. 2.1</w:t>
      </w:r>
    </w:p>
    <w:p>
      <w:r>
        <w:t>Les premiers juges ont considéré que la responsabilité contractuelle de l'institution recourante était engagée par un comportement constitutif d'une négligence et qu'elle était tenue en conséquence de réparer le dommage causé à l'intimé. Elle ne s'était en effet pas assurée que le titulaire du compte sur lequel elle avait versé la prestation de libre passage de l'intimé était celui d'une institution de prévoyance, alors qu'une simple vérification au registre du commerce aurait suffi. Le formulaire signé par l'assuré le 25 juillet 2000 mentionnait d'ailleurs que le transfert du capital de prévoyance n'était possible que si la rubrique « Raison sociale et adresse de la nouvelle institution de prévoyance » était remplie. En pareilles circonstances, compte tenu du devoir de diligence accru qui incombait à l'institution de prévoyance, il importait peu que l'assuré ait remis lui-même un bulletin de versement à la recourante.</w:t>
      </w:r>
    </w:p>
    <w:p>
      <w:r>
        <w:rPr>
          <w:b/>
        </w:rPr>
        <w:t>E. 2.2</w:t>
      </w:r>
    </w:p>
    <w:p>
      <w:r>
        <w:t>L'institution recourante fait grief aux premiers juges de n'avoir pas considéré que le paiement opéré avait eu un effet libératoire à son encontre, dans la mesure où l'assuré avait personnellement communiqué l'adresse de paiement et remis un bulletin de versement avec l'adresse manuscrite de Z.________ SA. A tout le moins, elle reproche à la juridiction cantonale de n'avoir pas reconnu que l'assuré s'était fait l'auteur d'une faute concomitante, dans la mesure où il était à l'origine du paiement et où il n'avait réagi que très tardivement au transfert. Pour finir, elle observe que les premiers juges n'ont pas examiné deux moyens qu'elle avait invoqués en procédure cantonale, à savoir l'exception de compensation et l'interdiction de l'abus de droit.</w:t>
      </w:r>
    </w:p>
    <w:p>
      <w:r>
        <w:rPr>
          <w:b/>
        </w:rPr>
        <w:t>E. 3</w:t>
      </w:r>
    </w:p>
    <w:p>
      <w:r>
        <w:t>Dans un grief qu'il convient d'examiner en premier lieu, l'institution recourante se plaint d'une violation de son droit d'être entendue pour défaut de motivation du jugement entrepris, en tant que celui-ci n'aurait pas examiné les moyens libératoires qu'elle avait invoqués.</w:t>
      </w:r>
    </w:p>
    <w:p>
      <w:r>
        <w:rPr>
          <w:b/>
        </w:rPr>
        <w:t>E. 3.1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publié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3.2</w:t>
      </w:r>
    </w:p>
    <w:p>
      <w:r>
        <w:t>En l'espèce, alors même que l'institution recourante avait invoqué une éventuelle faute concomitante de l'assuré, soulevé l'exception de compensation et dénoncé ce qu'elle considérait être un abus de droit commis par l'assuré, les premiers juges n'ont pas examiné ces moyens. En ne discutant pas les griefs valablement présentés par la recourante, alors qu'ils n'étaient pas, de prime abord, dépourvus de pertinence pour l'issue du litige, ceux-ci ont commis un déni de justice formel au sens de l' art. 29 al. 1 Cst. Il y a dès lors lieu de constater que le jugement entrepris ne permet pas un examen exhaustif de la cause par le Tribunal fédéral. Pour ce motif déjà et eu égard à la nature formelle du grief invoqué ( ATF 127 V 431 consid. 3d/aa p. 437), il convient d'admettre le recours, d'annuler le jugement attaqué et de renvoyer la cause à la juridiction cantonale pour qu'elle reprenne l'examen de la demande et statue à nouveau sur celle-ci.</w:t>
      </w:r>
    </w:p>
    <w:p>
      <w:r>
        <w:rPr>
          <w:b/>
        </w:rPr>
        <w:t>E. 4</w:t>
      </w:r>
    </w:p>
    <w:p>
      <w:r>
        <w:t>Vu l'issue du litige, les frais de justice doivent en principe être supportés par l'intimé qui succombe (art. 66 al. 1, première phrase, LTF en relation avec l' art. 65 al. 4 let. a LTF ). Compte tenu cependant de la violation qualifiée dans l'application des règles de droit par la Cour des assurances sociales du Tribunal cantonal, les frais judiciaires sont mis à la charge du canton de Vaud ( art. 66 al. 3 LTF ; ATF 133 V 402 consid. 5 p. 407 et les références). Quant à l'institution recourante, elle ne saurait prétendre des dépens, aucuns dépens n'étant alloués aux organisations chargées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