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9C_830/2014 vom 21. Januar 2015</w:t>
      </w:r>
    </w:p>
    <w:p>
      <w:r>
        <w:t>Bundesgericht, 2015-01-21, DE</w:t>
      </w:r>
    </w:p>
    <w:p>
      <w:r>
        <w:rPr>
          <w:b/>
        </w:rPr>
        <w:t xml:space="preserve">Quelle: </w:t>
      </w:r>
      <w:r>
        <w:t>https://mcp.opencaselaw.ch/entscheid/bger_9C_830_2014</w:t>
      </w:r>
    </w:p>
    <w:p>
      <w:r>
        <w:t>FR: TF 9C_830/2014 du 21 janvier 2015</w:t>
      </w:r>
    </w:p>
    <w:p>
      <w:r>
        <w:t>IT: TF 9C_830/2014 del 21 gennaio 2015</w:t>
      </w:r>
    </w:p>
    <w:p>
      <w:pPr>
        <w:pStyle w:val="Heading2"/>
      </w:pPr>
      <w:r>
        <w:t>Erwägungen</w:t>
      </w:r>
    </w:p>
    <w:p>
      <w:r>
        <w:rPr>
          <w:b/>
        </w:rPr>
        <w:t>E. 1</w:t>
      </w:r>
    </w:p>
    <w:p>
      <w:r>
        <w:t>Soweit sich die Ausführungen der Beschwerdeführerin auf eine appellatorische Kritik an der Beweiswürdigung des kantonalen Gerichts beschränken, sind sie nicht zu berücksichtigen, da sie mit Blick auf die gesetzliche Überprüfungsbefugnis des Bundesgerichts ( Art. 97 Abs. 1 und Art. 105 Abs. 1 BGG ) unzulässig sind. Ausserdem bleiben die mit der Beschwerdeschrift neu ins Verfahren eingebrachten Akten unbeachtlich (vgl. Art. 99 Abs. 1 BGG ).</w:t>
      </w:r>
    </w:p>
    <w:p>
      <w:r>
        <w:rPr>
          <w:b/>
        </w:rPr>
        <w:t>E. 2</w:t>
      </w:r>
    </w:p>
    <w:p>
      <w:r>
        <w:t>Streitig und zu prüfen ist alleine der Anspruch auf Leistungen der Kollektiv-Taggeldversicherung nach KVG. Die Beschwerdegegnerin hat ihn unter Hinweis auf die im ganzen Sozialversicherungsrecht geltende Pflicht zur Schadenminderung eingestellt. Demnach ist eine in ihrem bisherigen Tätigkeitsbereich dauernd arbeitsunfähige Person gehalten, innert nützlicher Frist Arbeit in einem anderen Berufs- oder Erwerbszweig zu suchen und anzunehmen, soweit dies möglich und zumutbar ist. Verwertet die versicherte Person ihre restliche Arbeitsfähigkeit nicht, obgleich sie hierzu unter Berücksichtigung der Arbeitsmarktlage und nötigenfalls einer bestimmten Anpassungszeit zumutbarerweise in der Lage wäre, so hat sie sich die berufliche Tätigkeit anrechnen zu lassen, die sie bei gutem Willen ausüben könnte; das Fehlen des guten Willens ist nur dort entschuldbar, wo es auf einer Krankheit beruht. Die einer versicherten Person einzuräumende Anpassungszeit bemisst sich nach den jeweiligen Umständen des Falles. In der Praxis werden Zeiten von drei bis fünf Monaten als angemessen betrachtet (Urteil 8C_763/2008 vom 19. Juni 2009 E. 6.1.2, nicht publiziert in BGE 135 V 306 mit Hinweis auf BGE 114 V 281 E. 1d S. 283; BGE 111 V 235 E. 2a S. 239; Urteil K 42/05 vom 11. Juli 2005 E. 1.3).</w:t>
      </w:r>
    </w:p>
    <w:p>
      <w:r>
        <w:rPr>
          <w:b/>
        </w:rPr>
        <w:t>E. 3</w:t>
      </w:r>
    </w:p>
    <w:p>
      <w:r>
        <w:t>Die Beschwerdeführerin rügt, es habe vorinstanzlich an einer Gesamtschau der Probleme gefehlt. Das fachvertrauensärztliche Gutachten sei keineswegs vollständig oder schlüssig gewesen. Deshalb dürften die diesem widersprechenden ergänzenden Stellungnahmen u.a. des Spitals D.________ nicht als unmassgeblich beurteilt und die vorinstanzlich beantragten Beweise in antizipierter Würdigung abgelehnt werden. Die Anpassungszeit sei viel zu kurz bemessen, es sei vielmehr davon auszugehen, dass eine solche gar nicht möglich sei. Bei dem ihr zumutbaren Einkommen seien ihre Qualifikationen mit zu berücksichtigen.</w:t>
      </w:r>
    </w:p>
    <w:p>
      <w:r>
        <w:rPr>
          <w:b/>
        </w:rPr>
        <w:t>E. 4</w:t>
      </w:r>
    </w:p>
    <w:p>
      <w:r>
        <w:t>Gemäss Ziff. 13.1 der Allgemeinen Versicherungsbedingungen (AVB) für die Helsana Business Salary Kollektiv-Taggeldversicherung nach KVG (Ausgabe vom 1. Januar 2007) wird das Taggeld bei nachgewiesener Arbeitsunfähigkeit von mindestens 25 % anteilsmässig entsprechend dem Grad der Arbeitsunfähigkeit ausgerichtet.</w:t>
      </w:r>
    </w:p>
    <w:p>
      <w:r>
        <w:rPr>
          <w:b/>
        </w:rPr>
        <w:t>E. 4.1</w:t>
      </w:r>
    </w:p>
    <w:p>
      <w:r>
        <w:t>Die Vorinstanz ist nach einer einlässlichen Würdigung der gesamten medizinischen Akten zum Schluss gekommen, der Gesundheitszustand der Beschwerdeführerin sei gestützt auf die vorliegenden Arztberichte, insbesondere das überzeugende Gutachten des arbeitsmedizinischen Zentrums C.________, hinreichend erstellt, weshalb sich in antizipierter Beweiswürdigung die beantragten weiteren medizinischen Abklärungen erübrigten. Dabei ist sie u.a. umfassend auf die Berichte des Spitals D.________ vom 7. November und 10. Dezember 2013 eingegangen und hat aufgezeigt, dass aus ihnen in einer leidensadaptierten Tätigkeit keine Einschränkung der Arbeitsfähigkeit abgeleitet werden könne. Letztinstanzlich bringt die Beschwerdeführerin nichts vor, was die vorinstanzliche Einschätzung relativieren könnte.</w:t>
      </w:r>
    </w:p>
    <w:p>
      <w:r>
        <w:rPr>
          <w:b/>
        </w:rPr>
        <w:t>E. 4.2</w:t>
      </w:r>
    </w:p>
    <w:p>
      <w:r>
        <w:t>Was die gewährte Anpassungszeit betrifft, kann ebenfalls auf die vorinstanzlichen Erwägungen, mit denen sich die Beschwerdeführerin nicht auseinandersetzt, verwiesen werden: Die gewährte Anpassungszeit von dreieinhalb Monaten ab Erlass der Verfügung vom 14. Juni 2013 ist weder hinsichtlich der Dauer noch des Anfangszeitpunktes zu beanstanden (oben E. 2).</w:t>
      </w:r>
    </w:p>
    <w:p>
      <w:r>
        <w:rPr>
          <w:b/>
        </w:rPr>
        <w:t>E. 4.3</w:t>
      </w:r>
    </w:p>
    <w:p>
      <w:r>
        <w:t>Was die Ermittlung des Invalideneinkommens betrifft, so sah sich die Vorinstanz, da die Beschwerdeführerin stellenlos ist, veranlasst, auf die Tabellenlöhne der Schweizerischen Lohnstrukturerhebung (LSE) des Bundesamtes für Statistik (Frauen, einfache und repetitive Tätigkeiten) abzustellen. Die Berechnung hat korrekt einen Erwerbsunfähigkeitsgrad resp. eine Erwerbseinbusse von gerundet 8 % ergeben. Selbst bei der hier aus Gesundheitsgründen nicht angebrachten Berücksichtigung des tieferen Tabellenwertes für die Gastronomie von Fr. 3'825.- würde sich nur eine Erwerbseinbusse von 16 % (anstatt mind. 25 %) ergeben. Die (berufliche) Qualifikation der Beschwerdeführerin lässt das Heranziehen eines höheren Anforderungsniveaus nicht zu. Somit hat die Beschwerdegegnerin die Ausrichtung von Taggeldern wegen des Fehlens einer nachgewiesenen Arbeitsunfähigkeit von mindestens 25 % über den 30. September 2013 hinaus zu Recht abgelehnt. Der vorinstanzliche Entscheid verletzt kein Bundesrecht und ist zu schützen.</w:t>
      </w:r>
    </w:p>
    <w:p>
      <w:r>
        <w:rPr>
          <w:b/>
        </w:rPr>
        <w:t>E. 5</w:t>
      </w:r>
    </w:p>
    <w:p>
      <w:r>
        <w:t>Die Beschwerde wird im vereinfachten Verfahren nach Art. 109 Abs. 2 lit. a BGG erledigt.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