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9C_82/2007 vom 4. April 2008</w:t>
      </w:r>
    </w:p>
    <w:p>
      <w:r>
        <w:t>Bundesgericht, 2008-04-04, FR</w:t>
      </w:r>
    </w:p>
    <w:p>
      <w:r>
        <w:rPr>
          <w:b/>
        </w:rPr>
        <w:t xml:space="preserve">Quelle: </w:t>
      </w:r>
      <w:r>
        <w:t>https://mcp.opencaselaw.ch/entscheid/bger_9C_82_2007</w:t>
      </w:r>
    </w:p>
    <w:p>
      <w:r>
        <w:t>FR: TF 9C_82/2007 du 4 avril 2008</w:t>
      </w:r>
    </w:p>
    <w:p>
      <w:r>
        <w:t>IT: TF 9C_82/2007 del 4 aprile 2008</w:t>
      </w:r>
    </w:p>
    <w:p>
      <w:pPr>
        <w:pStyle w:val="Heading2"/>
      </w:pPr>
      <w:r>
        <w:t>Erwägungen</w:t>
      </w:r>
    </w:p>
    <w:p>
      <w:r>
        <w:rPr>
          <w:b/>
        </w:rPr>
        <w:t>E. 1</w:t>
      </w:r>
    </w:p>
    <w:p>
      <w:r>
        <w:t>Le degré de l'invalidité du recourant, ainsi que le moment de la survenance de celle-ci, ne sont pas contestés.</w:t>
      </w:r>
    </w:p>
    <w:p>
      <w:r>
        <w:t>Comme en première instance, le litige porte uniquement sur le droit aux prestations pour la période antérieure au 1er octobre 2004, l'intimé en ayant refusé le versement en raison de la tardiveté de la demande.</w:t>
      </w:r>
    </w:p>
    <w:p>
      <w:r>
        <w:rPr>
          <w:b/>
        </w:rPr>
        <w:t>E. 2</w:t>
      </w:r>
    </w:p>
    <w:p>
      <w:r>
        <w:t>Le Tribunal des assurances a exposé correctement les règles applicables à la solution du litige ( art. 48 al. 1 et 2 LAI , dans leur teneur en vigueur jusqu'au 31 décembre 2002 d'une part, depuis le 1er janvier 2003 d'autre part).</w:t>
      </w:r>
    </w:p>
    <w:p>
      <w:r>
        <w:t>Le Tribunal a aussi rappelé que 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 ATF 100 V 114 consid. 2c p. 119 sv; RCC 1984 p. 419 consid. 1 p. 420 sv); Valterio, Droit et pratique de l'assurance-invalidité [les prestations], p. 305 sv.).</w:t>
      </w:r>
    </w:p>
    <w:p>
      <w:r>
        <w:t>Une restitution de délai doit également être accordée si l'assuré a été incapable d'agir pour cause de force majeure - par exemple en raison d'une maladie psychique entraînant une incapacité de discernement ( ATF 108 V 226 consid. 4 p. 228 sv; consid. 1b de l'arrêt M. du 22 mars 2001, I 264/00)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 ATF 102 V 112 consid. 2a p. 115; RCC 1984 p. 419 consid. 1 p. 420 sv; Valterio, eod. loc.).</w:t>
      </w:r>
    </w:p>
    <w:p>
      <w:r>
        <w:rPr>
          <w:b/>
        </w:rPr>
        <w:t>E. 3</w:t>
      </w:r>
    </w:p>
    <w:p>
      <w:r>
        <w:t>En première instance, le recourant a soutenu qu'il s'était trouvé dans l'impossibilité objective de former sa demande à temps, en raison de sa maladie.</w:t>
      </w:r>
    </w:p>
    <w:p>
      <w:r>
        <w:t>A cet égard, le Tribunal des assurances a constaté qu'aucun rapport médical ne faisait état de troubles psychiques qui auraient privé le recourant de la faculté d'agir raisonnablement ( art. 16 CC ). En particulier, les premiers juges ont relevé que l'intéressé est actuellement parfaitement autonome, qu'il reste indépendant dans ses déplacements et ne nécessite pas l'assistance d'une personne pour toutes ses activités. Son fonctionnement intellectuel n'est pas altéré et il s'est reconverti en qualité de consultant et d'expert. Selon la juridiction cantonale, rien ne permet de mettre en doute la capacité de discernement du recourant, de sorte qu'il ne subissait aucune impossibilité objective d'agir.</w:t>
      </w:r>
    </w:p>
    <w:p>
      <w:r>
        <w:rPr>
          <w:b/>
        </w:rPr>
        <w:t>E. 4.1</w:t>
      </w:r>
    </w:p>
    <w:p>
      <w:r>
        <w:t>Le recourant fait grief à la juridiction cantonale d'avoir apprécié les preuves de façon arbitraire et d'avoir constaté les faits de manière inexacte, ce qui a abouti à une application erronée des art. 48 al. 2 LAI et 16 CC. Dans ce cadre, il reproche aussi aux premiers juges de n'avoir pas examiné l'opportunité d'une expertise médicale destinée à connaître l'étendue de sa capacité de discernement, objet de sa conclusion subsidiaire. Sur ce point, compte tenu des conclusions du docteur Y.________ du 25 août 2006, il estime que le Tribunal cantonal aurait dû constater un défaut de capacité volitive l'ayant privé de la capacité de discernement nécessaire au dépôt en temps utile de sa demande de prestations.</w:t>
      </w:r>
    </w:p>
    <w:p>
      <w:r>
        <w:rPr>
          <w:b/>
        </w:rPr>
        <w:t>E. 4.2</w:t>
      </w:r>
    </w:p>
    <w:p>
      <w:r>
        <w:t>A l'examen du rapport du docteur Y.________ du 25 août 2006, les constatations de fait du Tribunal des assurances n'apparaissent aucunement erronées. En particulier, ce médecin n'a pas fait état de troubles psychiques qui auraient privé le recourant de la faculté d'agir raisonnablement, et il n'a pas non plus préconisé d'investigations psychiatriques visant à déterminer l'étendue de la capacité de discernement de son patient. A défaut d'indices permettant de penser que le recourant serait privé de la faculté d'agir raisonnablement en raison de troubles psychiques (situation que la jurisprudence assimile à un cas de force majeure), la juridiction cantonale n'avait dès lors pas de raison d'ordonner pareil complément d'instruction (voir le consid. 3 de l'arrêt F. du 6 août 2002, I 125/02, publié in RDAT 2003 I n. 71 277 p. 278 sv.), objet de la conclusion subsidiaire du recours, si bien que le grief de violation de l' art. 61 let . c LPGA tombe aussi à faux.</w:t>
      </w:r>
    </w:p>
    <w:p>
      <w:r>
        <w:t>A propos de l'aptitude volitive, second élément de la capacité de discernement ( art. 16 CC ; ATF 124 III 5 consid. 1a p. 8 et les références), le docteur Y.________ estime que le dépôt tardif de la demande résulte vraisemblablement du fait que si le recourant pouvait probablement comprendre la nécessité de faire la démarche auprès de l'AI, il n'a pas pu la vouloir jusqu'au moment où son épouse est intervenue. Or il s'agit-là d'un motif qui entre dans la catégorie des motifs personnels ou subjectifs que la jurisprudence considère comme dénués de pertinence sous l'angle de l' art. 48 al. 2 LAI (consid. 2b in fine de l'arrêt M. du 22 mars 2001, I 264/00), si bien que le droit aux prestations pour la période antérieure au 1er octobre 2004 a été nié à juste titre.</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