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9C_827/2015 vom 2. März 2016</w:t>
      </w:r>
    </w:p>
    <w:p>
      <w:r>
        <w:t>Bundesgericht, 2016-03-02, DE</w:t>
      </w:r>
    </w:p>
    <w:p>
      <w:r>
        <w:rPr>
          <w:b/>
        </w:rPr>
        <w:t xml:space="preserve">Quelle: </w:t>
      </w:r>
      <w:r>
        <w:t>https://mcp.opencaselaw.ch/entscheid/bger_9C_827_2015</w:t>
      </w:r>
    </w:p>
    <w:p>
      <w:r>
        <w:t>FR: TF 9C_827/2015 du 2 mars 2016</w:t>
      </w:r>
    </w:p>
    <w:p>
      <w:r>
        <w:t>IT: TF 9C_827/2015 del 2 marzo 2016</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w:t>
      </w:r>
    </w:p>
    <w:p>
      <w:r>
        <w:t>Streitig ist einzig, ob das kantonale Gericht das Vorgehen der Beschwerdegegnerin zu Recht schützte, welche Einkommen und in den Betrieb investiertes Eigenkapital als massgebende Berechnungsgrundlagen für die Beitragshöhe in zwei separaten Verfügungen festgelegt hatte. Weil die Vorinstanz zwar von einer unzulässigen Erweiterung des Rechtsbegehrens ausging, dieses aber dennoch behandelte, erübrigen sich entsprechende Weiterungen. Immerhin scheint das kantonale Gericht übersehen zu haben, dass der Beschwerdeführer bereits in seiner Beschwerdeschrift vom 6. Juni 2014 Ausführungen zur Gegenstandslosigkeit der ersten Verfügung vom 17. Februar 2014 gemacht und explizit um Sistierung des Verfahrens bis zum Entscheid über die Einsprache gegen die Verfügung vom 7. Mai 2014 ersucht hatte.</w:t>
      </w:r>
    </w:p>
    <w:p>
      <w:r>
        <w:rPr>
          <w:b/>
        </w:rPr>
        <w:t>E. 2.1</w:t>
      </w:r>
    </w:p>
    <w:p>
      <w:r>
        <w:t>Die Vorinstanz erwog, Gegenstand des auf die Verfügung vom 17. Februar 2014 folgenden Einspracheverfahrens sei lediglich das Einkommen, nicht aber das im Betrieb investierte Eigenkapital gewesen. Die Höhe des der Verfügung vom 17. Februar 2014 zu Grunde liegenden Einkommens habe die Beschwerdegegnerin im Einspracheentscheid vom 7. Mai 2014 zu Recht bestätigt. Mit Bezug auf das im Betrieb investierte Eigenkapital habe die Beschwerdegegnerin, gestützt auf eine (teil-) korrigierte Meldung des Steueramtes, richtigerweise eine neue Verfügung erlassen. Eine Korrektur im Einspracheentscheid hätte dazu geführt, dass dem Beschwerdeführer eine Instanz verloren gegangen wäre. Gegen die korrigierte Verfügung vom 7. Mai 2014 habe der Beschwerdeführer denn auch wiederum Einsprache erhoben.</w:t>
      </w:r>
    </w:p>
    <w:p>
      <w:r>
        <w:rPr>
          <w:b/>
        </w:rPr>
        <w:t>E. 2.2</w:t>
      </w:r>
    </w:p>
    <w:p>
      <w:r>
        <w:t>Der Beschwerdeführer bringt, wie bereits im kantonalen Beschwerdeverfahren vor, mit Erlass der Verfügung vom 7. Mai 2014 sei die vorangehende Verfügung für dieselbe Periode ausdrücklich ersetzt worden. Damit sei das die ursprüngliche Verfügung vom 17. Februar 2014 betreffende Einspracheverfahren gegenstandslos geworden und hätte abgeschrieben werden müssen. Die Verfügung vom 7. Mai 2014 sei nicht Gegenstand des vorinstanzlichen Verfahrens gewesen, das diesbezügliche Einspracheverfahren sei nach wie vor hängig.</w:t>
      </w:r>
    </w:p>
    <w:p>
      <w:r>
        <w:rPr>
          <w:b/>
        </w:rPr>
        <w:t>E. 3</w:t>
      </w:r>
    </w:p>
    <w:p>
      <w:r>
        <w:t>Streitgegenstand im verwaltungs- wie auch im vorinstanzlichen Verfahren war die Höhe der persönlichen Beiträge des Beschwerdeführers für das Jahr 2010. Diese Beiträge berechnen sich gestützt auf das Erwerbseinkommen unter Gewährung insbesondere eines Zinsabzuges für das im Betrieb investierte Eigenkapital ( Art. 8 und 9 AHVG sowie Art. 22 und 23 AHVV ). Erwerbseinkommen und im Betrieb investiertes Eigenkapital bilden somit Einzelkomponenten der Beitragsberechnung. Solche Teilaspekte sind einer Aufspaltung in mehrere selbstständige Verfügungen nicht zugänglich. Es handelt sich nicht um selbstständig zur Entscheidung geeignete Teile eines teilbaren Streitgegenstandes, die durch Teilverfügung einen abtrennbaren Verfahrensteil abzuschliessen vermöchten (vgl. BGE 132 III 785 E. 2 S. 789 f.). Sie sind denn auch bezüglich Rechtskraft nicht separierbar ( BGE 122 V 351 E. 4b S. 356).</w:t>
      </w:r>
    </w:p>
    <w:p>
      <w:r>
        <w:t>Selbst wenn der Beschwerdeführer mit Einsprache vom 19. Februar 2014 allein das Erwerbseinkommen, nicht aber das im Betrieb investierte Eigenkapital angefochten hätte, vermöchte dies somit nichts daran zu ändern, dass die Beschwerdegegnerin nicht mit einer neuen Verfügung einzig über die Höhe des im Betrieb investierten Eigenkapitals als nur einer Teilkomponente der Beitragshöhe hätte entscheiden dürfen. Wie dies im Übrigen auch in dem von ihr gewählten Verfügungswortlaut zum Ausdruck kommt ("Die für die Ausgleichskasse verbindlichen Angaben [der Steuerbehörde] führen zu einer Berichtigung, wodurch die vorangehende Verfügung derselben Periode ersetzt wird"), bewirkte der Erlass der neuen Verfügung vom 7. Mai 2014 den integralen Ersatz der früheren Verfügung vom 17. Februar 2014. Das diese betreffende Einspracheverfahren wurde somit gegenstandslos, weshalb der ebenfalls am 7. Mai 2014 erlassene Einspracheentscheid zu Unrecht erging. Die entsprechende Argumentation des Beschwerdeführers ist zutreffend.</w:t>
      </w:r>
    </w:p>
    <w:p>
      <w:r>
        <w:rPr>
          <w:b/>
        </w:rPr>
        <w:t>E. 4</w:t>
      </w:r>
    </w:p>
    <w:p>
      <w:r>
        <w:t>Die offensichtlich begründete Beschwerde ist im vereinfachten Verfahren gutzuheissen ( Art. 109 Abs. 2 lit. b BGG ).</w:t>
      </w:r>
    </w:p>
    <w:p>
      <w:r>
        <w:rPr>
          <w:b/>
        </w:rPr>
        <w:t>E. 5</w:t>
      </w:r>
    </w:p>
    <w:p>
      <w:r>
        <w:t>Dem Verfahrensausgang entsprechend sind die Gerichtskosten der Beschwerdegegnerin aufzuerlegen (Art. 66 Abs. 1 erster Satz BGG). Ausserdem hat sie dem Beschwerdeführer eine Parteientschädigung zu bezahlen ( Art. 68 BGG ).</w:t>
      </w:r>
    </w:p>
    <w:p>
      <w:r>
        <w:rPr>
          <w:b/>
        </w:rPr>
        <w:t>E. 6</w:t>
      </w:r>
    </w:p>
    <w:p>
      <w:r>
        <w:t>Mit dem Entscheid in der Sache ist der Antrag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