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827/2012 vom 26. Oktober 2012</w:t>
      </w:r>
    </w:p>
    <w:p>
      <w:r>
        <w:t>Bundesgericht, 2012-10-26, DE</w:t>
      </w:r>
    </w:p>
    <w:p>
      <w:r>
        <w:rPr>
          <w:b/>
        </w:rPr>
        <w:t xml:space="preserve">Quelle: </w:t>
      </w:r>
      <w:r>
        <w:t>https://mcp.opencaselaw.ch/entscheid/bger_9C_827_2012</w:t>
      </w:r>
    </w:p>
    <w:p>
      <w:r>
        <w:t>FR: TF 9C 827/2012 du 26 octobre 2012</w:t>
      </w:r>
    </w:p>
    <w:p>
      <w:r>
        <w:t>IT: TF 9C 827/2012 del 26 ottobre 2012</w:t>
      </w:r>
    </w:p>
    <w:p>
      <w:pPr>
        <w:pStyle w:val="Heading2"/>
      </w:pPr>
      <w:r>
        <w:t>Regeste</w:t>
      </w:r>
    </w:p>
    <w:p>
      <w:r>
        <w:t>Berufliche Vorsorge | Berufliche Vorsorge</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Verfügungen über aufschiebende Wirkung sind Zwischenverfügungen, gegen welche die Beschwerde an das Bundesgericht nur unter den Voraussetzungen von Art. 93 BGG zulässig ist. Die Frage, ob im vorliegenden Fall ein nicht wieder gutzumachender Nachteil ( Art. 93 Abs. 1 lit. a BGG ) rechtsgenüglich dargetan worden und gegeben ist, kann offenbleiben. Verfügungen über die aufschiebende Wirkung stellen Entscheide über vorsorgliche Massnahmen im Sinne von Art. 98 BGG dar. Gemäss der in Art. 98 BGG enthaltenen Vorschrift kann mit der Beschwerde gegen Entscheide über vorsorgliche Massnahmen nur die Verletzung verfassungsmässiger Rechte gerügt werden. Auch eine Berichtigung oder Ergänzung der Sachverhaltsfeststellungen kommt nur in Frage, wenn die Vorinstanz verfassungsmässige Rechte verletzt hat (vgl. BGE 133 III 585 E. 4.1 S. 588). Für alle Vorbringen betreffend die Verletzung verfassungsmässiger Rechte gilt das strenge Rügeprinzip. Das bedeutet, dass die rechtsuchende Partei präzise angeben muss, welches verfassungsmässige Recht durch den angefochtenen vorinstanzlichen Entscheid verletzt wurde, und im Einzelnen darzulegen hat,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 SVR 2007 IV Nr. 43 S. 143, 9C_191/2007).</w:t>
      </w:r>
    </w:p>
    <w:p>
      <w:r>
        <w:rPr>
          <w:b/>
        </w:rPr>
        <w:t>E. 2</w:t>
      </w:r>
    </w:p>
    <w:p>
      <w:r>
        <w:t>In der Beschwerde wird nicht dargelegt, dass und inwiefern der angefochtene Entscheid verfassungsmässige Rechte verletzt. Die umfangreiche Beschwerde enthält bezüglich der Voraussetzungen, auf denen die verfügte Abweisung der aufschiebenden Wirkung beruht, keine nach Art. 98 BGG zulässigen Rügen, befasst sie sich doch mit der materiellen Seite des Falles und enthält sie mit Bezug auf die Frage der aufschiebenden Wirkung nur materiellrechtliche und nicht verfassungsrechtliche Kritik. Es wird einzig in verfahrensrechtlicher Hinsicht die Verletzung des rechtlichen Gehörs ( Art. 29 BV ) gerügt und geltend gemacht, die Vorinstanz habe der Beschwerdeführerin erst auf die dritte Aufforderung hin die Vernehmlassungsantwort der Beschwerdegegnerin vom 13. August 2012 zugestellt. Zum einen ist in diesem Zusammenhang Art. 106 Abs. 2 BGG klar nicht erfüllt, zum andern erfolgten die Aufforderungen am 10., 14. und 18. September 2012 und mithin nach Zustellung der angefochtenen Zwischenverfügung am 7. September 2012. Es wird denn auch nicht dargelegt, inwiefern beim Entscheid über die aufschiebende Wirkung ein Anspruch auf Replik bestehen sollte.</w:t>
      </w:r>
    </w:p>
    <w:p>
      <w:r>
        <w:rPr>
          <w:b/>
        </w:rPr>
        <w:t>E. 3</w:t>
      </w:r>
    </w:p>
    <w:p>
      <w:r>
        <w:t>Mit diesem Entscheid wird das Gesuch um aufschiebende Wirkung der Beschwerde im letztinstanzlichen Verfahren, soweit eine solche überhaupt möglich wäre, gegenstandslos. Für die Anordnung einer mündlichen Parteiverhandlung besteht kein Raum.</w:t>
      </w:r>
    </w:p>
    <w:p>
      <w:r>
        <w:rPr>
          <w:b/>
        </w:rPr>
        <w:t>E. 4</w:t>
      </w:r>
    </w:p>
    <w:p>
      <w:r>
        <w:t>Nach Art. 66 Abs. 1 BGG hat die Beschwerdeführerin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