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826/2017 vom 28. Mai 2018</w:t>
      </w:r>
    </w:p>
    <w:p>
      <w:r>
        <w:t>Bundesgericht, 2018-05-28, FR</w:t>
      </w:r>
    </w:p>
    <w:p>
      <w:r>
        <w:rPr>
          <w:b/>
        </w:rPr>
        <w:t xml:space="preserve">Quelle: </w:t>
      </w:r>
      <w:r>
        <w:t>https://mcp.opencaselaw.ch/entscheid/bger_9C_826_2017</w:t>
      </w:r>
    </w:p>
    <w:p>
      <w:r>
        <w:t>FR: TF 9C 826/2017 du 28 mai 2018</w:t>
      </w:r>
    </w:p>
    <w:p>
      <w:r>
        <w:t>IT: TF 9C 826/2017 del 28 maggio 2018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2</w:t>
      </w:r>
    </w:p>
    <w:p>
      <w:r>
        <w:t>En instance fédérale, le litige a trait à l'octroi d'une rente d'invalidité limitée dans le temps auquel s'applique par analogie l' art. 17 LPGA . Compte tenu des conclusions du recours, il porte sur l'étendue de la rente de l'assurance-invalidité (un quart de rente au lieu d'une rente entière) du 1er avril 2015 au 31 mai 2016, singulièrement sur la méthode d'évaluation de l'invalidité à appliquer pour cette période. Le jugement attaqué expose de manière complète les dispositions légales et les principes jurisprudentiels relatifs à la notion d'invalidité ( art. 7 et 8 al. 1 LPGA en relation avec l' art. 4 al. 1 LAI ), à son évaluation et au choix de la méthode applicable pour procéder à celle-ci ( art. 16 LPGA et art. 28a LAI ; voir aussi ATF 137 V 334 consid. 3.1 et 3.2 p. 337 s.; arrêt 9C_44/2011 du 1er septembre 2011 consid. 3), ainsi qu'à l'examen des rentes temporaires d'invalidité sous l'angle de la révision du droit aux prestations durables ( art. 17 LPGA , art. 29bis et 88a RAI ). Il suffit d'y renvoyer.</w:t>
      </w:r>
    </w:p>
    <w:p>
      <w:r>
        <w:rPr>
          <w:b/>
        </w:rPr>
        <w:t>E. 3</w:t>
      </w:r>
    </w:p>
    <w:p>
      <w:r>
        <w:t>La juridiction cantonale a considéré que l'administration avait à tort évalué le taux d'invalidité de l'intimé en recourant à la méthode ordinaire et en comparant les résultats d'exploitation avant et après l'invalidité. Elle a jugé qu'il convenait d'appliquer la méthode extraordinaire, et de se référer aux champs d'activité arrêtés dans le rapport d'enquête du 8 décembre 2015. Elle a ainsi constaté que l'assuré était toujours en mesure d'accomplir les tâches de direction et d'administration, ainsi que les travaux légers de peinture, ce qui représentait 30 % de son activité; en revanche, les travaux lourds de peinture, qui correspondaient aux 70 % restants de son activité, ne pouvaient plus du tout être effectués. Les premiers juges ont ensuite déterminé le salaire statistique relatif à chaque champ d'activité selon l'Enquête suisse sur la structure des salaires (ESS 2012). En se fondant sur le tableau T17 et en retenant un revenu de 74'928 fr. pour les tâches de direction et d'administration, respectivement de 74'868 fr. pour les travaux légers et lourds de peinture, ils ont fixé le taux d'invalidité de l'intimé à 70 %. Examinant ensuite à partir de quand la rente devait être limitée dans le temps, l'instance de recours a retenu qu'au regard de l'obligation de diminuer le dommage, un changement d'activité était exigible de la part de l'assuré à partir du 17 février 2016. A ce moment, son taux d'invalidité devait alors être évalué au moyen de la méthode ordinaire de comparaison des revenus, comme l'avait fait l'office recourant; ce procédé revenait à admettre une invalidité de 30 %. En conclusion, les premiers juges ont reconnu le droit de l'intimé à une rente entière d'invalidité du 1er avril 2015 au 31 mai 2016.</w:t>
      </w:r>
    </w:p>
    <w:p>
      <w:r>
        <w:rPr>
          <w:b/>
        </w:rPr>
        <w:t>E. 4</w:t>
      </w:r>
    </w:p>
    <w:p>
      <w:r>
        <w:t>L'office recourant reproche à la juridiction cantonale d'avoir reconnu le droit de l'assuré à une rente entière d'invalidité du 1er avril 2015 au 31 mai 2016. Il conteste la méthode appliquée par celle-ci pour calculer le taux d'invalidité de l'intimé pour la période allant du 1er avril 2015 au 17 février 2016. Selon l'administration, les motifs avancés par les premiers juges pour écarter l'application de la méthode ordinaire de comparaison des revenus au profit de la méthode extraordinaire ne sont pas fondés; il était en effet possible de déterminer de manière fiable les revenus avant et après invalidité selon la méthode de la comparaison des revenus. En conséquence, et au vu de la date à laquelle les premiers juges ont considéré qu'un changement d'activité professionnelle était exigible (soit, dès le 17 février 2016), l'intimé devait se voir reconnaître le droit à un quart de rente (et non à une rente entière) limitée dans le temps pour la période allant du 1er avril 2015 au 31 mai 2016. Pour sa part, l'intimé critique la motivation insuffisante du recours et se rallie entièrement aux considérants du jugement entrepris; il soutient que des facteurs étrangers à l'invalidité ont influencé les résultats de son entreprise.</w:t>
      </w:r>
    </w:p>
    <w:p>
      <w:r>
        <w:rPr>
          <w:b/>
        </w:rPr>
        <w:t>E. 5.1</w:t>
      </w:r>
    </w:p>
    <w:p>
      <w:r>
        <w:t>On relèvera au préalable que l'argumentation de l'intimé développée à l'appui de l'irrecevabilité du grief de l'office AI, au motif d'une motivation ne satisfaisant pas aux exigences de l' art. 42 LTF , est mal fondée. Contrairement à ce qu'il soutient, on constate, à la lecture du recours, que la motivation permet de reconnaître en quoi l'application de la méthode ordinaire d'évaluation de l'invalidité conduit au résultat auquel l'administration conclut, soit à la reconnaissance du droit de l'intimé à un quart de rente pour la période allant du 1er avril 2015 au 31 mai 2016.</w:t>
      </w:r>
    </w:p>
    <w:p>
      <w:r>
        <w:rPr>
          <w:b/>
        </w:rPr>
        <w:t>E. 5.2</w:t>
      </w:r>
    </w:p>
    <w:p>
      <w:r>
        <w:t>Le choix de la méthode d'évaluation de l'invalidité est une question de droit sur laquelle le Tribunal fédéral se prononce librement (arrêts 9C_403/2016 du 12 janvier 2017 consid. 7.2 et 9C_237/2016 du 24 août 2016 consid. 2.2). Chez les assurés actifs, le taux d'invalidité doit en principe être déterminé d'après la méthode ordinaire de comparaison des revenus;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et art. 28a al. 1 LAI ). Lorsque l'assuré est une personne de condition indépendante, la comparaison porte sur les résultats d'exploitation réalisés dans son 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A cet égard, les résultats d'exploitation d'une entreprise dépendent en effet souvent de nombreux paramètres difficiles à apprécier, tels que la situation conjoncturelle, la concurrence, l'aide ponctuelle des membres de la famille, des personnes intéressées dans l'entreprise ou des collaborateurs, lesquels constituent des facteurs étrangers à l'invalidité. Ainsi, il convient, dans chaque cas, afin de déterminer la méthode d'évaluation applicable, d'examiner si les documents comptables permettent ou non de distinguer la part du revenu qu'il faut attribuer aux facteurs étrangers à l'invalidité de celle qui revient à la propre prestation de travail de l'assuré (arrêts 9C_106/2011 du 14 octobre 2011 consid. 4.3, I 83/97 du 16 octobre 1997 consid. 2c, in VSI 1998 p. 121, et I 432/97 du 30 mars 1998 consid. 4a, in VSI 1998 p. 255).</w:t>
      </w:r>
    </w:p>
    <w:p>
      <w:r>
        <w:rPr>
          <w:b/>
        </w:rPr>
        <w:t>E. 5.3</w:t>
      </w:r>
    </w:p>
    <w:p>
      <w:r>
        <w:t>En l'espèce, le grief de l'office recourant est bien fondé. Contrairement à ce que la juridiction cantonale a retenu, les données comptables de l'entreprise de l'intimé permettaient de distinguer la part du revenu résultant exclusivement de la prestation personnelle de travail de ce dernier de celle qu'il fallait attribuer à des facteurs étrangers à l'invalidité; elles constituaient donc une base valable pour évaluer son incapacité de gain. A cet égard, les premiers juges ne peuvent en effet pas être suivis lorsqu'ils affirment que "l'assuré a [...] été contraint de sous-traiter une partie de ses activités, ce qui a contribué de manière prépondérante à la réalisation du chiffre d'affaires de l'entreprise et, partant, de son bénéfice d'exploitation". Comme le relève à juste titre l'administration, il ressort des comptes d'exploitation de l'entreprise de l'assuré que les frais résultant de la sous-traitance pour les années à compter de la survenance de l'atteinte à la santé (soit, 9'758 fr. en 2014 et 13'157 fr. en 2015) ont été soustraits du chiffre d'affaires de l'entreprise. Or dans la mesure où l'intimé exploitait alors une entreprise individuelle et n'avait plus d'employé à partir de la fin de l'année 2014 (rapport d'enquête du 8 décembre 2015, p. 6: "le contrat de travail n'a pas été reconduit sur l'année 2014"), il faut admettre qu'après déduction de ces frais et des autres frais liés à l'exploitation de l'entreprise (achats de marchandises et frais généraux, notamment), le bénéfice net d'exploitation correspond à la part de revenu résultant de la prestation de travail de l'assuré. Par ailleurs, à l'inverse de ce que les premiers juges ont retenu, l'intimé n'a pas engagé du personnel temporaire à la suite de ses ennuis de santé. A la lecture du rapport d'enquête pour activité professionnelle indépendante du 8 décembre 2015, on constate effectivement que l'intéressé n'employait plus de personnel; il faisait dorénavant appel à son ancien ouvrier en tant que sous-traitant. Quant à la "perte d'une partie de la clientèle" qui serait étrangère à l'invalidité selon la juridiction cantonale, il s'agit d'une circonstance qui n'est pas non plus déterminante en l'occurrence. Lors de l'enquête économique, l'assuré a indiqué travailler principalement avec un seul client, sans faire état d'une diminution des mandats. Il n'apparaît donc pas que la baisse d'une partie des activités ne soit pas liée à son atteinte à la santé; la diminution de son rendement consécutive à celle-ci a été prise en compte puisqu'elle s'est répercutée sur le montant du chiffre d'affaires de son entreprise. Celui-ci peut donc servir de base pour établir sa perte de gain. On ajoutera finalement que l'argumentation de l'intimé, selon laquelle l'aide de son fils constitue un facteur étranger à l'invalidité de nature à influencer les résultats de son exploitation, ne peut pas être suivie. Il ressort en effet du rapport d'enquête du 8 décembre 2015 que l'aide apportée par le fils du recourant est somme toute d'une importance minime ("Son fils l'aide à raison d'une heure par semaine, en général, durant le week-end") et qu'elle est prodiguée en raison du fait que le recourant "écrit mal le français et ne maîtrise pas vraiment les outils informatiques". Dans la mesure où le besoin d'aide de l'intéressé ne découle pas de son atteinte à la santé, il apparaît vraisemblable qu'il était déjà aidé par son fils avant la survenance de ses problèmes de santé.</w:t>
      </w:r>
    </w:p>
    <w:p>
      <w:r>
        <w:rPr>
          <w:b/>
        </w:rPr>
        <w:t>E. 5.4</w:t>
      </w:r>
    </w:p>
    <w:p>
      <w:r>
        <w:t>Compte tenu de ce qui précède, l'invalidité de l'intimé devait être évaluée conformément à la méthode ordinaire de comparaison des revenus appliquée par l'office recourant pour la période en cause. En application de celle-ci et en fonction des résultats de l'enquête économique fondée sur le compte d'exploitation de l'entreprise, le taux d'invalidité de l'intimée devait être fixé à 41 %, soit: (60'000 fr. [revenu sans invalidité, correspondant aux résultats des comptes pertes et profits des années 2011 à 2013] - 35'600 fr. [revenu d'invalide, correspondant au résultat d'exploitation de l'année 2015])./. 60'000 fr. x 100 = 41 %.</w:t>
      </w:r>
    </w:p>
    <w:p>
      <w:r>
        <w:rPr>
          <w:b/>
        </w:rPr>
        <w:t>E. 6</w:t>
      </w:r>
    </w:p>
    <w:p>
      <w:r>
        <w:t>Vu le présent arrêt, la requête d'attribution de l'effet suspensif au recours n'a plus d'objet.</w:t>
      </w:r>
    </w:p>
    <w:p>
      <w:r>
        <w:rPr>
          <w:b/>
        </w:rPr>
        <w:t>E. 7</w:t>
      </w:r>
    </w:p>
    <w:p>
      <w:r>
        <w:t>Compte tenu de l'issue du litige, les frais de justice doivent être mis à la charge de l'intimé ( art. 66 al. 1 LTF ). L'assistance judiciaire lui est cependant accordée dès lors qu'il en remplit les conditions ( art. 64 al. 1 et 2 LTF ). Il est rendu attentif au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