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826/2014 vom 22. September 2015</w:t>
      </w:r>
    </w:p>
    <w:p>
      <w:r>
        <w:t>Bundesgericht, 2015-09-22, DE</w:t>
      </w:r>
    </w:p>
    <w:p>
      <w:r>
        <w:rPr>
          <w:b/>
        </w:rPr>
        <w:t xml:space="preserve">Quelle: </w:t>
      </w:r>
      <w:r>
        <w:t>https://mcp.opencaselaw.ch/entscheid/bger_9C_826_2014</w:t>
      </w:r>
    </w:p>
    <w:p>
      <w:r>
        <w:t>FR: TF 9C 826/2014 du 22 septembre 2015</w:t>
      </w:r>
    </w:p>
    <w:p>
      <w:r>
        <w:t>IT: TF 9C 826/2014 del 22 settembre 2015</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Folglich ist es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w:t>
      </w:r>
    </w:p>
    <w:p>
      <w:r>
        <w:rPr>
          <w:b/>
        </w:rPr>
        <w:t>E. 2.1</w:t>
      </w:r>
    </w:p>
    <w:p>
      <w:r>
        <w:t>Die Vorinstanz hat festgestellt, der Beschwerdeführer habe nicht die Durchführung einer Teilliquidation verlangt, und bis auf Weiteres habe auch die Meta davon Abstand genommen. Ungeachtet der Kündigung des Anschlussvertrages durch die altB.________ GmbH auf Ende 2012 sei das Vertragsverhältnis offensichtlich weitergeführt worden. Sie ist der Auffassung, dass der geltend gemachte Anspruch daher nicht nach den Regeln zur Teilliquidation - für die im Streitfall ohnehin die Aufsichtsbehörde zuständig wäre ( Art. 53d Abs. 6 BVG ) -, sondern nach jenen über die Freizügigkeit zu beurteilen sei. Weiter hat das kantonale Gericht festgestellt, bei der Meta bzw. beim Vorsorgewerk der altB.________ GmbH liege eine erhebliche Unterdeckung vor. Seit der auf Ende Januar 2014 erfolgten Auflösung des Arbeitsverhältnisses zwischen der altB.________ GmbH und dem Beschwerdeführer erledige dieser die Carrosserie-/Reparaturarbeiten nunmehr als Selbstständigerwerbender über seine (nicht im Handelsregister eingetragene) Einzelfirma "E.________", wobei sich die Gesellschaft darauf beschränke, die Kunden an ihn weiterzuverweisen. Es hat erwogen, diese Neuorganisation diene lediglich dem Zweck, die Belastung der altB.________ GmbH durch die Sanierungsmassnahmen der Meta zu umgehen. Das sei "offenbar rechtsmissbräuchlich" und verdiene keinen Rechtsschutz. Folglich sei ungeachtet der formellen Auflösung des Arbeitsverhältnisses nicht von einem Freizügigkeitsfall im Sinne von Art. 2 FZG (SR 831.42) auszugehen, weshalb der Beschwerdeführer auch nicht Anspruch auf die geltend gemachte Freizügigkeitsleistung habe.</w:t>
      </w:r>
    </w:p>
    <w:p>
      <w:r>
        <w:rPr>
          <w:b/>
        </w:rPr>
        <w:t>E. 2.2</w:t>
      </w:r>
    </w:p>
    <w:p>
      <w:r>
        <w:t>In Bezug auf die Beendigung des Arbeitsverhältnisses zwischen dem Beschwerdeführer und der altB.________ GmbH bringt die Meta lediglich vor, "an der Tätigkeit des Beschwerdeführers und seiner betrieblichen Organisation (Tätigkeit für die GmbH) " habe sich "in Tat und Wahrheit" nichts geändert. Insbesondere vertritt sie - wie auch das kantonale Gericht - nicht die Auffassung, dass der Beschwerdeführer weiterhin bei ihr versichert sei oder dass sie für die Zeit ab dem 1. Februar 2014 Anspruch auf weitere Beitragszahlungen habe, weil die altB.________ GmbH beitragspflichtiges Personal beschäftige (vgl. Art. 2 BVG ).</w:t>
      </w:r>
    </w:p>
    <w:p>
      <w:r>
        <w:rPr>
          <w:b/>
        </w:rPr>
        <w:t>E. 3.1</w:t>
      </w:r>
    </w:p>
    <w:p>
      <w:r>
        <w:t>Die (anschlussvertragliche) Kündigung ist ein einseitiges Gestaltungsrecht und grundsätzlich bedingungsfeindlich sowie unwiderruflich ( BGE 128 III 129 E. 2a S. 135 mit Hinweisen). Die Kündigung der altB.________ GmbH vom 30. Mai 2012 auf den 31. Dezember 2012 (vgl. Sachverhalt lit. A.b Abs. 2) entfaltete somit Wirkung. Nachdem jedoch dasselbe Vertragsverhältnis konkludent zu identischen Bedingungen weitergeführt wurde, wie die Vorinstanz für das Bundesgericht verbindlich festgestellt hat (vgl. E. 1.1 und E. 2.1 vorne), hat der berufsvorsorgerechtliche Anschluss der altB.________ GmbH bei der Meta seine Fortsetzung genommen. Zur Beurteilung stehen somit ausschliesslich die gestaffelten Austritte des Beschwerdeführers und des Angestellten D.________ aus der altB.________ GmbH.</w:t>
      </w:r>
    </w:p>
    <w:p>
      <w:r>
        <w:rPr>
          <w:b/>
        </w:rPr>
        <w:t>E. 3.2</w:t>
      </w:r>
    </w:p>
    <w:p>
      <w:r>
        <w:t>Versicherte, welche die Vorsorgeeinrichtung verlassen, bevor ein Vorsorgefall eintritt (Freizügigkeitsfall), haben Anspruch auf eine Austrittsleistung ( Art. 2 Abs. 1 FZG ). Diese berechnet sich grundsätzlich nach Art. 15 f. FZG; Art. 17 und 18 FZG legen Mindestansprüche der Versicherten fest (vgl. HERMANN WALSER, in: BVG und FZG, 2010, N. 1 zu Art. 18 FZG ). Registrierte Vorsorgeeinrichtungen haben den austretenden Versicherten mindestens das Altersguthaben nach Artikel 15 BVG mitzugeben ( Art. 18 FZG ). Im Freizügigkeitsfall dürfen Vorsorgeeinrichtungen keine versicherungstechnischen Fehlbeträge von der Austrittsleistung abziehen ( Art. 19 Abs. 1 FZG ). Im Fall einer Teil- oder Gesamtliquidation (Art. 23 Abs. 2) dürfen versicherungstechnische Fehlbeträge abgezogen werden ( Art. 19 Abs. 2 Satz 1 FZG ). Aber auch die zuletzt genannte Regelung steht unter dem ausdrücklichen gesetzlichen Vorbehalt, dass durch den (anteilmässigen) Abzug nicht das Altersguthaben gemäss Art. 15 BVG geschmälert wird ( Art. 53d Abs. 3 BVG in Verbindung mit Art. 23 Abs. 2 FZG ; BGE 138 V 303 E. 3.2 S. 306 f.). Dennoch gilt es zu unterscheiden, ob der Anspruch auf die Austrittsleistung im Zusammenhang mit einem (Teil-) Liquidationstatbestand oder mit einem "gewöhnlichen" Freizügigkeitsfall nach Art. 2 Abs. 1 FZG steht (vgl. auch SZS 2015 S. 270, 9C_484/2014 E. 2.3.1 mit Hinweisen) : Im letzteren Fall wird die Austrittsleistung unmittelbar mit dem Austritt aus der Vorsorgeeinrichtung fällig ( Art. 2 Abs. 3 FZG ); im ersteren hingegen ergibt sich die Fälligkeit der Austrittsleistung erst, wenn feststeht, wie hoch die freien Mittel sind resp. der Fehlbetrag ist, zumal ein solcher immer individuell weiterzugeben ist ( Art. 27g Abs. 3 Satz 2 der Verordnung vom 18. April 1984 über die berufliche Alters-, Hinterlassenen- und Invalidenvorsorge [BVV 2; SR 831.441.1] ). Das bedeutet, dass sich die Fälligkeit der Austrittsleistung im Rahmen einer (Teil-) Liquidation erst im Zeitpunkt ergibt, in dem das vorhandene Vermögen resp. die Höhe des Altersguthabens definitiv bestimmt ist. Dies bedingt das Vorliegen eines verbindlichen Verteilungsplans resp. einer verbindlichen Zuweisung des Fehlbetrages, der im Übrigen keinen Verteilungsplan erfordert ( BGE 135 V 113 E. 2.1.5 in fine S. 118). Erst dann ist das Altersguthaben durch die Art. 2 ff. FZG geschützt (MARTINA STOCKER, Die Teilliquidation von Vorsorgeeinrichtungen, 2012, S. 53 oben). Implizit ergibt sich dies auch aus Art. 27g Abs. 3 Satz 3 BVV 2 . Daraus erhellt, dass die Austrittsleistung nicht vor der Feststellung eines allfälligen Fehlbetrages überwiesen werden muss.</w:t>
      </w:r>
    </w:p>
    <w:p>
      <w:r>
        <w:rPr>
          <w:b/>
        </w:rPr>
        <w:t>E. 4.1</w:t>
      </w:r>
    </w:p>
    <w:p>
      <w:r>
        <w:t>Wie sich den Akten entnehmen lässt, arbeitete D.________ nach seinem Ausscheiden aus der altB.________ GmbH für die Einzelfirma "E.________" des Beschwerdeführers (Protokoll der Parteibefragung von A.________ vom 13. August 2014 S. 3 unten). Dieser Umstand, die Neuorganisation des Betriebes - Reduktion der Tätigkeit der altB.________ GmbH auf Auftragsvermittlung an die Einzelfirma, ausschliessliche Tätigkeit des Beschwerdeführers als Selbstständigerwerbender (vgl. E. 2.1) - sowie weitere von der Vorinstanz verbindlich (E. 1.1) festgestellte Momente - identische Räumlichkeiten und identischer Telefonanschluss der altB.________ GmbH und der Einzelfirma, Werbung (Autoreparaturarbeiten) im Internet für die altB.________ GmbH - erwecken in der Tat den Eindruck, dass das gewählte Vorgehen lediglich der Umgehung der von der Beschwerdegegnerin eingeleiteten Sanierungsmassnahmen resp. des von der Beschwerdegegnerin ausgesprochenen Kündigungsstopps (vgl. Sachverhalt lit. A.b Abs. 2 und 3) diente. Ein Umgehungstatbestand und damit rechtsmissbräuchliches Verhalten kann jedoch nur gegeben sein, wenn die Weigerung der Meta, das Anschlussverhältnis mangels Ausfinanzierung des BVG-Minimums aufzulösen, ihrerseits rechtmässig ist. Dies erscheint fraglich, braucht in casu - soweit überhaupt im (Leistungs-) Klageverfahren zu beurteilen - aber nicht abschliessend beantwortet zu werden (vgl. E. 4.4 nachfolgend). Jedenfalls schränkt der Wortlaut der gesetzlichen Bestimmungen betreffend das Vorgehen zur Behebung einer Unterdeckung ( Art. 65c-65e BVG ; Art. 44 f. BVV 2) die Zulässigkeit einer Auflösung des Anschlussvertrages nicht ein. Nichts anderes ergibt sich aus den hier anwendbaren vertraglichen Grundlagen (Anschlussvereinbarung vom 7. Juli 2007und Vorsorgereglement, insbesondere dessen Anhang 1 [Vorsorgeplan für das hier interessierende Vorsorgewerk] und Anhang 4 [Massnahmen zur Behebung der Unterdeckung]). Wohl ist eine Anweisung der BVG- und Stiftungsaufsicht beider Basel an die Stiftung vom 26. März 2013 aktenkundig, wonach Anschlussverträge nur aufgelöst werden dürfen resp. die entsprechenden Deckungskapitalien nur überführt werden dürfen, wenn das BVG-Minimum ausfinanziert ist. Sie erging jedoch ausdrücklich nicht als formelle Verfügung.</w:t>
      </w:r>
    </w:p>
    <w:p>
      <w:r>
        <w:rPr>
          <w:b/>
        </w:rPr>
        <w:t>E. 4.2</w:t>
      </w:r>
    </w:p>
    <w:p>
      <w:r>
        <w:t>Die Auflösung des Anschlussvertrages hat eine Teilliquidation zur Folge ( Art. 53b Abs. 1 lit. c BVG ; Art. 1 Abs. 1 lit. c Anhang 3 Vorsorgereglement [nachfolgend: Teilliquidationsreglement]). Eine solche ist aber (zwingend) auch bei einer erheblichen Verminderung der Belegschaft oder bei einer Restrukturierung eines Arbeitgebers, die mit einer Verminderung der Belegschaft verbunden ist, durchzuführen (Art. 1 Abs. 1 lit. a und b Teilliquidationsreglement; vgl. auch Art. 53b Abs. 1 lit. a und b BVG ). Massgebend ist dabei der Abbau der Belegschaft oder eine Restrukturierung, die sich innert eines Zeitrahmens von 12 Monaten nach einem entsprechenden Beschluss der zuständigen Organe des Arbeitgebers realisieren (Art. 1 Abs. 4 Teilliquidationsreglement). Der Austritt von D.________ und derjenige des Beschwerdeführers bedürfen demnach einer gesamtheitlichen Betrachtung (vgl. auch BGE 139 V 407 E. 4.1.1 S. 411), weshalb die in Bezug auf D.________ bereits geleistete Austrittsleistung unter dem Vorbehalt der (teilweisen) Rückerstattung steht ( Art. 27 g Abs. 3 BVV 2 ). Zum einen liegen die beiden Austritte lediglich vier Monate auseinander. Zum andern basieren beide auf der Neuorganisation der Geschäftstätigkeit des Beschwerdeführers als Selbstständigerwerbender. Dieser hatte sich davon Vorteile für den Betrieb erhofft, welche sich gemäss Aussagen der Ehefrau auch einstellten, wie sich Erwägung 3.3 des vorinstanzlichen Urteils entnehmen lässt.</w:t>
      </w:r>
    </w:p>
    <w:p>
      <w:r>
        <w:rPr>
          <w:b/>
        </w:rPr>
        <w:t>E. 4.3</w:t>
      </w:r>
    </w:p>
    <w:p>
      <w:r>
        <w:t>Es liegt auf der Hand, dass die Austritte der beiden einzigen Versicherten - die Ehefrau des Beschwerdeführers war gemäss verbindlicher (E. 1.1) Feststellung der Vorinstanz für die berufliche Vorsorge nirgends angeschlossen - sowohl einer Restrukturierung im Sinne von Art. 1 Abs. 1 lit. b Teilliquidationsreglement gleichkommen als auch den Tatbestand von Art. 1 Abs. 1 lit. a Teilliquidationsreglement (Verminderung der Belegschaft) erfüllen. Art. 1 Abs. 3 Teilliquidationsreglement nimmt eine Restrukturierung an, "wenn bisherige Tätigkeitsbereiche eines Unternehmens zusammengelegt, eingestellt, verkauft, ausgelagert oder auf andere Weise verändert werden und dies (bei einer Belegschaft von 1-9 Personen) eine Verminderung der Belegschaft und der individuell gebundenen Mittel" im Umfang von je 20 % bewirkt. Eine Verminderung der Belegschaft (von 1-9 Personen) definiert Art. 1 Abs. 2 Teilliquidationsreglement bei einer "Reduktion der Belegschaft und der gebundenen Mittel um je 40 %" als erheblich. Nachdem die altB.________ GmbH mit Schreiben vom 7. März 2014 die Stiftung wissen liess, dass momentan keine Neuanstellungen geplant seien und das Vorsorgewerk deshalb aufzuheben sei, entsprechen die gestaffelten Austritte des Beschwerdeführers und seines Angestellten D.________ auch dem Teilliquidationstatbestand von Art. 1 Abs. 1 lit. c Teilliquidationsreglement (Auflösung des Anschlussvertrages). Wie der Beschwerdeführer vor dem kantonalen Gericht vorbrachte, wollten die Angestellten die Arbeitsstelle verlassen, sofern die Pensionskasse nicht gewechselt werde. Jedenfalls erkannte auch die Beschwerdegegnerin selber, dass mit dem Austritt des Beschwerdeführers und damit des letzten Versicherten der Tatbestand der Teilliquidation erfüllt war (Schreiben vom 25. Februar 2014).</w:t>
      </w:r>
    </w:p>
    <w:p>
      <w:r>
        <w:rPr>
          <w:b/>
        </w:rPr>
        <w:t>E. 4.4</w:t>
      </w:r>
    </w:p>
    <w:p>
      <w:r>
        <w:t>Von keiner Seite wird geltend gemacht, dass je ein Teilliquidationsverfahren durchgeführt worden sein soll (vgl. E. 2.1). Solches ergibt sich auch nicht aus den Akten. Bei diesen Gegebenheiten ist der eingeklagte Anspruch auf eine Austrittsleistung - unabhängig vom Vorliegen einer Umgehungshandlung (vgl. E. 4.1) - (noch) nicht fällig (vgl. E. 3.2) und die Klage aus diesem Grund - zumindest zurzeit (SPÜHLER/DOLGE/GEHRI, Schweizerisches Zivilprozessrecht, 9. Aufl. 2010, S. 110 Rz. 5) - abzuweisen. Die Beschwerde erweist sich als unbegründet. Anzumerken bleibt, dass die korrekte Durchführung einer (Teil-) Liquidation auf dem aufsichtsrechtlichen Weg zu erwirken ist. Dabei wird die zuständige Aufsichtsbehörde - vor allem wenn sie an ihrer Auffassung gemäss Anweisung vom 26. März 2013 festhält (vgl. E. 4.1 in fine) - eine anfechtbare Verfügung zu erlassen haben (vgl. SZS 2012 S. 374, 9C_823/2011 E. 2.1; vgl. auch Art. 53d Abs. 6 BVG ).</w:t>
      </w:r>
    </w:p>
    <w:p>
      <w:r>
        <w:rPr>
          <w:b/>
        </w:rPr>
        <w:t>E. 5</w:t>
      </w:r>
    </w:p>
    <w:p>
      <w:r>
        <w:t>Dem Ausgang des Verfahrens entsprechend hat der Beschwerdeführer die Gerichtskosten zu tragen ( Art. 66 Abs. 1 BGG ). Die Meta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