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826/2009 vom 20. Juli 2010</w:t>
      </w:r>
    </w:p>
    <w:p>
      <w:r>
        <w:t>Bundesgericht, 2010-07-20, IT</w:t>
      </w:r>
    </w:p>
    <w:p>
      <w:r>
        <w:rPr>
          <w:b/>
        </w:rPr>
        <w:t xml:space="preserve">Quelle: </w:t>
      </w:r>
      <w:r>
        <w:t>https://mcp.opencaselaw.ch/entscheid/bger_9C_826_2009</w:t>
      </w:r>
    </w:p>
    <w:p>
      <w:r>
        <w:t>FR: TF 9C 826/2009 du 20 juillet 2010</w:t>
      </w:r>
    </w:p>
    <w:p>
      <w:r>
        <w:t>IT: TF 9C 826/2009 del 20 luglio 2010</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1.2</w:t>
      </w:r>
    </w:p>
    <w:p>
      <w:r>
        <w:t>A tal proposito è utile ricordare che se l'osservanza della massima inquisitoria ( art. 37 LTAF in relazione con l' art. 12 PA ) e delle regole per l'apprezzamento delle prove è una questione di diritto liberamente riesaminabile, l'apprezzamento delle prove in un caso concreto riguarda una questione di fatto che può essere rivista solo alle condizioni restrittive dell' art. 105 cpv. 2 LTF . Il riesame di una tale questione entra in particolare in linea di considerazione nell'ipotesi in cui un fatto decisivo è stato deciso sulla base di un sostrato probatorio incompleto, ad esempio perché è stato accertato prescindendo dalle conoscenze specialistiche di un esperto che le circostanze del caso avrebbero invece imposto di raccogliere (cfr. ad esempio DTF 132 III 83 consid. 3.5 pag. 88; SVR 2007 IV n. 39 pag. 132 consid. 3.3 seg. [I 1051/06] e 9C_410/2008 dell'8 settembre 2008 consid. 3.3.1).</w:t>
      </w:r>
    </w:p>
    <w:p>
      <w:r>
        <w:rPr>
          <w:b/>
        </w:rPr>
        <w:t>E. 2</w:t>
      </w:r>
    </w:p>
    <w:p>
      <w:r>
        <w:t>Nei considerandi dell'impugnata pronuncia, l'autorità giudiziaria competente ha già esposto le norme legali e i principi giurisprudenziali disciplinanti la materia, rammentando in particolare i presupposti che secondo il diritto svizzero - per principio applicabile al caso di specie anche in seguito all'entrata in vigore, il 1° giugno 2002, dell'Accordo del 21 giugno 1999 tra la Confederazione Svizzera, da una parte, e la Comunità europea ed i suoi Stati membri, dall'altra, sulla libera circolazione delle persone (ALC; RS 0.142.112.681), l'Accordo avendo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Così, dopo avere correttamente esposto i concetti d'incapacità al lavoro ( art. 6 LPGA ), al guadagno ( art. 7 LPGA ) e d'invalidità ( art. 8 LPGA e art. 4 LAI ), i primi giudici, rammentati i limiti temporali del potere cognitivo del giudice nel caso di specie ( art. 48 cpv. 2 LAI , in deroga all' art. 24 LPGA ; DTF 132 V 215 consid. 3.1.1 pag. 220; 121 V 362 consid. 1b pag. 366), hanno pertinentemente definito i presupposti e l'estensione del diritto alla rendita (art. 28 cpv. 1 e 1ter, art. 29 cpv. 1 e art. 36 cpv. 1 LAI [nella versione in vigore fino al 31 dicembre 2007]), illustrando il sistema di confronto dei redditi per l'accertamento del grado d'invalidità di assicurati esercitanti un'attività lucrativa ( art. 16 LPGA ), nonché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w:t>
      </w:r>
    </w:p>
    <w:p>
      <w:r>
        <w:rPr>
          <w:b/>
        </w:rPr>
        <w:t>E. 3</w:t>
      </w:r>
    </w:p>
    <w:p>
      <w:r>
        <w:t>Come già dinanzi al Tribunale amministrativo federale, il ricorrente si duole tra le altre cose del fatto che il SMR dell'AI, sul cui parere si è fondata anche la pronuncia impugnata, non avrebbe tenuto conto delle conseguenze invalidanti dei disturbi psichici attestati dall'INPS e dal Dipartimento di salute mentale di X.________. Così, nonostante la dott.ssa C.________ dell'INPS, nel suo esame del 30 gennaio 2007, avesse riferito della presenza di una sindrome ansioso-depressiva endoreattiva ad incidenza funzionale di media gravità e il dott. E.________, per detto Dipartimento, avesse riscontrato una "depressione di entità severa e ad evoluzione cronica in trattamento psicofarmocologico" (cerfificato del 29 novembre 2006), il dott. R.________ (medico generalista) del SMR si è limitato ad affermare che tale patologia non aveva alcuna ripercussione sulla sua capacità lavorativa (v. rapporto finale del 22 agosto 2007 e parere del 14 dicembre 2007).</w:t>
      </w:r>
    </w:p>
    <w:p>
      <w:r>
        <w:rPr>
          <w:b/>
        </w:rPr>
        <w:t>E. 4.1</w:t>
      </w:r>
    </w:p>
    <w:p>
      <w:r>
        <w:t>Giusta l' art. 59 LAI , nella versione applicabile in concreto, in vigore fino al 31 dicembre 2007, gli uffici AI devono disporre di servizi atti a garantire lo svolgimento dei compiti elencati nell' art. 57 LAI , con sollecitudine e competenza (cpv. 1). Per valutare le condizioni mediche del diritto alle prestazioni, gli uffici AI dispongono di servizi medici regionali interdisciplinari (cpv. 2).</w:t>
      </w:r>
    </w:p>
    <w:p>
      <w:r>
        <w:rPr>
          <w:b/>
        </w:rPr>
        <w:t>E. 4.2</w:t>
      </w:r>
    </w:p>
    <w:p>
      <w:r>
        <w:t>In attuazione dell' art. 59 cpv. 2 LAI , il Consiglio federale ha prescritto le discipline - tra le quali figura anche la psichiatria - che devono essere rappresentate nei servizi medici regionali ( art. 48 OAI ) e ha elencato nel dettaglio i compiti che questi servizi sono chiamati a svolgere ( art. 49 OAI ). Ciò significa, tra le altre cose, che per poter loro attribuire pieno valore probatorio, i rapporti dei servizi medici regionali devono essere redatti da medici che dispongono delle qualifiche specialistiche richieste nel singolo caso di specie (SVR 2009 IV n. 56 pag. 174 consid. 4.3.1 [9C_323/2009] e sentenza I 142/07 del 20 novembre 2007 consid. 3.2.3 con riferimenti). Se ciò non è il caso, il loro valore probatorio è affievolito.</w:t>
      </w:r>
    </w:p>
    <w:p>
      <w:r>
        <w:rPr>
          <w:b/>
        </w:rPr>
        <w:t>E. 4.3</w:t>
      </w:r>
    </w:p>
    <w:p>
      <w:r>
        <w:t>In concreto, l'amministrazione e l'istanza precedente non potevano a priori negare ogni effetto invalidante alla diagnosi espressa dai dott. C.________ e E.________ senza prima raccogliere il giudizio di uno specialista nella materia. Infatti, solo una valutazione specialistica espressa da uno psichiatra avrebbe potuto stabilire se la descritta sindrome ansioso-depressiva assumeva valore patologico e poteva, se del caso, determinare una incapacità lavorativa di rilievo (v. DTF 130 V 352 consid. 2.2.2 pag. 353; cfr. pure sentenze 8C_391/2009 del 21 ottobre 2009 consid. 4.2). In assenza di una siffatta valutazione, una simile ipotesi non poteva escludersi a priori (sentenza citata 9C_410/2008 consid. 3.3.2).</w:t>
      </w:r>
    </w:p>
    <w:p>
      <w:r>
        <w:rPr>
          <w:b/>
        </w:rPr>
        <w:t>E. 4.4</w:t>
      </w:r>
    </w:p>
    <w:p>
      <w:r>
        <w:t>Ora, in mancanza di altri rapporti psichiatrici agli atti, l'accertamento dei fatti operato dall'autorità giudiziaria di primo grado sulla base di un rapporto del SMR cui non poteva essere attribuito pieno potere probatorio (v. sopra consid. 4.2) è contrario al diritto federale e non vincola il Tribunale federale. D'altra parte nemmeno le attestazioni della dott.ssa C.________ - che si è limitata a dichiarare, nel suo complesso, l'assicurato non invalido poiché la sua capacità lavorativa, in attività confacente, non era permanentemente ridotta in misura superiore ai 2/3 (sic) - e del dott. E.________ - che neppure si è espresso sull'incidenza della patologia sulla capacità lavorativa - permettono di statuire definitivamente sulla (eventuale) incidenza invalidante della sindrome depressiva riscontrata. Ne discende che la causa dev'essere rinviata all'amministrazione per accertamento specialistico di tale aspetto.</w:t>
      </w:r>
    </w:p>
    <w:p>
      <w:r>
        <w:rPr>
          <w:b/>
        </w:rPr>
        <w:t>E. 5</w:t>
      </w:r>
    </w:p>
    <w:p>
      <w:r>
        <w:t>Le spese giudiziarie seguono la soccombenza e sono poste a carico dell'UAI ( art. 66 cpv. 1 LTF ), che rifonderà al ricorrente, assistito da un legale, un'indennità per ripetibili dell'ultima istanza federale ( art. 68 cpv. 1 LTF ). In tali condizioni, nella misura in cui è tesa ad ottenere la dispensa dal pagamento delle spese giudiziarie, la domanda di assistenza giudiziaria del ricorrente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