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9C_825/2008 vom 6. November 2008</w:t>
      </w:r>
    </w:p>
    <w:p>
      <w:r>
        <w:t>Bundesgericht, 2008-11-06, DE</w:t>
      </w:r>
    </w:p>
    <w:p>
      <w:r>
        <w:rPr>
          <w:b/>
        </w:rPr>
        <w:t xml:space="preserve">Quelle: </w:t>
      </w:r>
      <w:r>
        <w:t>https://mcp.opencaselaw.ch/entscheid/bger_9C_825_2008</w:t>
      </w:r>
    </w:p>
    <w:p>
      <w:r>
        <w:t>FR: TF 9C_825/2008 du 6 novembre 2008</w:t>
      </w:r>
    </w:p>
    <w:p>
      <w:r>
        <w:t>IT: TF 9C_825/2008 del 6 novembre 2008</w:t>
      </w:r>
    </w:p>
    <w:p>
      <w:pPr>
        <w:pStyle w:val="Heading2"/>
      </w:pPr>
      <w:r>
        <w:t>Erwägungen</w:t>
      </w:r>
    </w:p>
    <w:p>
      <w:r>
        <w:rPr>
          <w:b/>
        </w:rPr>
        <w:t>E. 1</w:t>
      </w:r>
    </w:p>
    <w:p>
      <w:r>
        <w:t>Da den beiden Beschwerden derselbe Sachverhalt zugrunde liegt und sie den nämlichen vorinstanzlichen Entscheid betreffen, werden die beiden Verfahren vereinigt und in einem einzigen Urteil erledigt ( BGE 128 V 124 E. 1 S. 126 mit Hinweisen, welche Rechtsprechung auch unter der Herrschaft des BGG weiterhin anwendbar ist: vgl. Urteil 9C_55/2007 vom 18. Oktober 2007 E. 1).</w:t>
      </w:r>
    </w:p>
    <w:p>
      <w:r>
        <w:rPr>
          <w:b/>
        </w:rPr>
        <w:t>E. 2</w:t>
      </w:r>
    </w:p>
    <w:p>
      <w:r>
        <w:t>Die Versicherte hat ihre an die Vorinstanz gerichtete Beschwerde mit zwei verschiedenen Argumentationen begründet: Erstens sei über die Frage der Befangenheit des ZMB MEDAS X.________ in einer anfechtbaren Verfügung zu entscheiden. Zweitens würde es zu einer ungebührlichen Verfahrensverlängerung führen, wenn das ZMB MEDAS X.________ mit der Begutachtung beauftragt werde, weil bei diesem bedeutend längere Wartezeiten als bei anderen Gutachtensstellen bestünden. Die beiden Argumentationen stehen insofern in einem Zusammenhang, als die erste gegenstandslos würde, wenn man der zweiten folgte. Dennoch handelt es sich um zwei verschiedene Begehren, die grundsätzlich auch unabhängig voneinander beurteilt werden können und daher zu selbstständig anfechtbaren Teilentscheiden ( Art. 91 lit. a BGG ) führen. Die Vorinstanz hat das erste Begehren gutgeheissen und die Sache an die IV-Stelle zurückgewiesen zum Erlass einer anfechtbaren Verfügung; insoweit handelt es sich um einen Zwischenentscheid ( BGE 133 V 477 E. 4.2 S. 481 f.). Das zweite Begehren hat sie abgewiesen; insoweit liegt ein selbstständig anfechtbarerer Teil-Endentscheid vor.</w:t>
      </w:r>
    </w:p>
    <w:p>
      <w:r>
        <w:rPr>
          <w:b/>
        </w:rPr>
        <w:t>E. 3</w:t>
      </w:r>
    </w:p>
    <w:p>
      <w:r>
        <w:t>Das BSV wendet sich in seiner Beschwerde nur gegen den Zwischenentscheid. In diesem wurde nicht über das Vorliegen von Ausstandsgründen beim ZMB MEDAS X.________ entschieden, sondern nur angeordnet, die IV-Stelle habe über dieselben in einer anfechtbaren Verfügung zu befinden. Die Zulässigkeit der Beschwerde richtet sich damit nicht nach der die Anfechtung von Vor- und Zwischenentscheiden über die Zuständigkeit und den Ausstand regelnden Bestimmung des Art. 92 BGG , sondern nach der der Anfechtung anderer Vor- und Zwischenentscheiden gewidmeten Norm des Art. 93 BGG , gemäss welcher die Beschwerde unter anderem zulässig ist, wenn der Entscheid einen nicht wieder gutzumachenden Nachteil bewirken kann (Abs. 1 lit. a). Ein derartiger Nachteil besteht rechtsprechungsgemäss für die Verwaltung, wenn der Rückweisungsentscheid durch nach Auffassung der Verwaltung rechtswidrige materiellrechtliche Anordnungen den Beurteilungsspielraum der unteren Instanz einschränkt ( BGE 133 V 477 E. 5.2 S. 483 ff.). Diese Voraussetzung ist hier nicht gegeben. Denn die Vorinstanz hat nur festgestellt, dass die Versicherte Ausstandsgründe im Sinne von Art. 36 ATSG behauptet habe, sich aber nicht dazu geäussert, ob diese Gründe zutreffen; in der Würdigung und Beurteilung der vorgebrachten Ausstandsgründe bleibt die IV-Stelle damit frei. In diesem Sinne stellt der blosse Umstand, dass die IV-Stelle eine (inhaltlich in keiner Weise präjudizierte) Verfügung erlassen muss, keinen nicht wieder gutzumachenden Nachteil dar. Auf die Beschwerde des BSV ist daher nicht einzutreten. Damit wird auch das von ihm gestellte Gesuch um Gewährung der aufschiebenden Wirkung gegenstandslos.</w:t>
      </w:r>
    </w:p>
    <w:p>
      <w:r>
        <w:rPr>
          <w:b/>
        </w:rPr>
        <w:t>E. 4.1</w:t>
      </w:r>
    </w:p>
    <w:p>
      <w:r>
        <w:t>Die Beschwerde der Versicherten richtet sich einzig gegen die Abweisung ihrer Rechtsverzögerungsbeschwerde durch das kantonale Gericht und damit gegen den Teil-Endentscheid; sie ist damit ohne weiteres zulässig ( Art. 90 und 91 BGG ).</w:t>
      </w:r>
    </w:p>
    <w:p>
      <w:r>
        <w:rPr>
          <w:b/>
        </w:rPr>
        <w:t>E. 4.2</w:t>
      </w:r>
    </w:p>
    <w:p>
      <w:r>
        <w:t>Die Versicherte lässt geltend machen, eine Beauftragung des ZMB MEDAS X.________ führe zu einer unzulässigen Verfahrensverzögerung, betrage doch die Wartezeit für Begutachtungen bei dieser Stelle sechs Monate mehr als bei einer alternativen Gutachtensstelle und komme dem Beschleunigungsgebot angesichts der überlangen Verfahrensdauer von mittlerweile zwölf Jahren absolute Priorität zu.</w:t>
      </w:r>
    </w:p>
    <w:p>
      <w:r>
        <w:rPr>
          <w:b/>
        </w:rPr>
        <w:t>E. 4.3</w:t>
      </w:r>
    </w:p>
    <w:p>
      <w:r>
        <w:t>Eine Gerichts- oder Verwaltungsbehörde muss jeden Entscheid binnen einer Frist fassen, die nach der Natur der Sache und nach den gesamten übrigen Umständen angemessen erscheint ( BGE 131 V 407 E. 1.1 S. 409; 119 Ib 311 E. 5 S. 323; Rüedi, Die Bedeutung des Eidgenössischen Versicherungsgerichts für die Verwirklichung des Sozialversicherungsrechts des Bundes, ZBJV 1994 S. 74 ff.; Schmuckli, Die Fairness in der Verwaltungsrechtspflege, Freiburg 1990, S. 100 ff.), ansonsten sie dem Rechtsverweigerungs- und Rechtsverzögerungsverbot zuwiderhandelt ( Art. 6 Ziff. 1 EMRK und Art. 29 Abs. 1 BV ; vgl. dazu Jörg Paul Müller/Markus Schefer, Grundrechte in der Schweiz, 4. Aufl. 2008, S. 840 ff.). Dabei kann eine verfassungswidrige Rechtsverweigerung oder -verzögerung auch durch eine positive Anordnung begangen werden, wobei rechtsprechungsgemäss vorausgesetzt wird, dass die fragliche Anordnung rechtsmissbräuchlich getroffen wurde, und sich ein Eingreifen des Gerichts hinsichtlich angeordneter Abklärungsmassnamen nur rechtfertigt, wenn die Behörde ihr Ermessen offensichtlich überschritten hat (Urteil I 91/07 vom 20. März 2007).</w:t>
      </w:r>
    </w:p>
    <w:p>
      <w:r>
        <w:rPr>
          <w:b/>
        </w:rPr>
        <w:t>E. 4.4</w:t>
      </w:r>
    </w:p>
    <w:p>
      <w:r>
        <w:t>Es lässt sich nicht von der Hand weisen, dass das vorliegende Verfahren ausserordentlich lange dauert (vgl. auch SVR 2007 IV Nr. 44 S. 144, I 946/05 E. 5.4). Indessen ist die lange Dauer nicht einem vorwerfbaren Verhalten einzelner Akteure wie beispielsweise der IV-Stelle zuzuschreiben; vielmehr ergibt sie sich aus einer Kumulation der für die einzelnen Verfahrensschritte benötigten Zeit. Wenn es auch zutrifft, dass sich einzelne Abschnitte wie die Begutachtung durch das ZMB MEDAS X.________ oder das Einspracheverfahren vor der IV-Stelle in die Länge zogen, kann auch bei diesen (inzwischen abgeschlossenen und nicht mehr zur Diskussion stehenden) Schritten nicht von einer übermässigen Dauer die Rede sein.</w:t>
      </w:r>
    </w:p>
    <w:p>
      <w:r>
        <w:t>Es steht fest und ist unbestritten, dass die hier einzig streitige Begutachtung durch das ZMB MEDAS X.________ (anstelle einer anderen Gutachtensstelle) zu einer weiteren Verfahrensverzögerung von einigen Monaten führt. Angesichts der bisherigen Gesamtdauer des Verfahrens wäre es grundsätzlich höchst wünschbar, eine Gutachtensstelle mit möglichst kurzen Wartezeiten zu beauftragen. Indessen hat die Vorinstanz erwogen, dass es im Sinne der mit Entscheid vom 18. April 2007 angeordneten Einholung eines Ergänzungsgutachtens sinnvoll sei, wenn sich diejenigen Gutachter mit den offenen Fragen befassen könnten, die bereits Kenntnis der gesamten Verhältnisse hätten. Das ist eine sachlich haltbare Überlegung. Hinzu kommt, dass durch die (von der Versicherten nicht angefochtene) Rückweisung an die IV-Stelle zum Erlass einer anfechtbaren Verfügung über die geltend gemachte Befangenheit der Gutachtensstelle ohnehin eine gewisse Verzögerung eintreten wird, insbesondere wenn diese Verfügung ihrerseits wieder angefochten wird. Allerdings kann eine Kumulation der Verzögerungen vermieden werden, wenn die IV-Stelle den Gutachtensauftrag dem ZMB MEDAS X.________, sofern sie dessen Befangenheit verneint, sogleich erteilt mit dem Hinweis, dass er hinfällig werde, falls die Befangenheit in einem späteren Rechtsmittelverfahren bejaht werden sollte. Bei dieser Sachlage dringt die Versicherte mit ihrer Rechtsverzögerungsrüge nicht durch.</w:t>
      </w:r>
    </w:p>
    <w:p>
      <w:r>
        <w:rPr>
          <w:b/>
        </w:rPr>
        <w:t>E. 5</w:t>
      </w:r>
    </w:p>
    <w:p>
      <w:r>
        <w:t>Die Versicherte, welche mit ihrer Beschwerde unterliegt, trägt die Gerichtskosten ( Art. 66 Abs. 1 BGG ). Für das BSV besteht von vornherein keine Kostenpflicht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