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81/2008 vom 19. Juni 2008</w:t>
      </w:r>
    </w:p>
    <w:p>
      <w:r>
        <w:t>Bundesgericht, 2008-06-19, DE</w:t>
      </w:r>
    </w:p>
    <w:p>
      <w:r>
        <w:rPr>
          <w:b/>
        </w:rPr>
        <w:t xml:space="preserve">Quelle: </w:t>
      </w:r>
      <w:r>
        <w:t>https://mcp.opencaselaw.ch/entscheid/bger_9C_81_2008</w:t>
      </w:r>
    </w:p>
    <w:p>
      <w:r>
        <w:t>FR: TF 9C 81/2008 du 19 juin 2008</w:t>
      </w:r>
    </w:p>
    <w:p>
      <w:r>
        <w:t>IT: TF 9C 81/2008 del 19 giugno 2008</w:t>
      </w:r>
    </w:p>
    <w:p>
      <w:pPr>
        <w:pStyle w:val="Heading2"/>
      </w:pPr>
      <w:r>
        <w:t>Regeste</w:t>
      </w:r>
    </w:p>
    <w:p>
      <w:r>
        <w:t>Invalidenversicherung | Invalidenversicherung</w:t>
      </w:r>
    </w:p>
    <w:p>
      <w:pPr>
        <w:pStyle w:val="Heading2"/>
      </w:pPr>
      <w:r>
        <w:t>Erwägungen</w:t>
      </w:r>
    </w:p>
    <w:p>
      <w:r>
        <w:rPr>
          <w:b/>
        </w:rPr>
        <w:t>E. 1</w:t>
      </w:r>
    </w:p>
    <w:p>
      <w:r>
        <w:t>Das Nichteintreten des kantonalen Gerichts auf den Antrag betreffend berufliche Eingliederungsmassnahmen gibt zu keiner Beanstandung Anlass. Denn Gegenstand der Verwaltungsverfügung vom 7. Mai 2007 bildete lediglich der Anspruch auf eine Invalidenrente. Dementsprechend war auf die Ausführungen in der Beschwerde nur insoweit einzugehen, als sich diese mit dem Gegenstand der Verfügung und des vorinstanzlichen Entscheides bildenden Rentenanspruch (und nicht etwa mit beruflichen Massnahmen, über welchen Anspruch die Verwaltung zwischenzeitlich befunden hat, oder mit dem Taggeld, über welchen Anspruch die Verwaltung noch entscheiden wird; vgl. Verfügung der IV-Stelle vom 15. April 2008) befassten. Nicht anders verhält es sich im letztinstanzlichen Verfahren.</w:t>
      </w:r>
    </w:p>
    <w:p>
      <w:r>
        <w:rPr>
          <w:b/>
        </w:rPr>
        <w:t>E. 2</w:t>
      </w:r>
    </w:p>
    <w:p>
      <w:r>
        <w:t>Streitig und zu prüfen ist der Anspruch auf eine Invalidenrente.</w:t>
      </w:r>
    </w:p>
    <w:p>
      <w:r>
        <w:rPr>
          <w:b/>
        </w:rPr>
        <w:t>E. 2.1</w:t>
      </w:r>
    </w:p>
    <w:p>
      <w:r>
        <w:t>Im angefochtenen Entscheid werden die hierfür massgebenden Bestimmungen und Grundsätze zutreffend dargelegt. Darauf wird verwiesen.</w:t>
      </w:r>
    </w:p>
    <w:p>
      <w:r>
        <w:rPr>
          <w:b/>
        </w:rPr>
        <w:t>E. 2.2</w:t>
      </w:r>
    </w:p>
    <w:p>
      <w:r>
        <w:t>Gestützt auf das interdisziplinäre Gutachten des Regionalen Ärztlichen Dienstes (RAD) vom 6. März 2007 ging die Vorinstanz davon aus, dass die Beschwerdeführerin aufgrund gesundheitlicher Beeinträchtigungen rheumatologischer und psychischer Natur zwar in der angestammten Tätigkeit als Pflegehelferin ab April 2005 vollständig arbeitsunfähig ist, in einer leidensangepassten Tätigkeit (körperliche Tätigkeit mit Wechselbelastung, ohne Stress oder Zeitdruck, ohne erhöhtes Konfliktpotential, ohne Notwendigkeit zur engen Zusammenarbeit im Team, keine Schichtarbeit) indessen eine Arbeitsfähigkeit von 80 % besteht. Dass diese Sachverhaltsfeststellung offensichtlich unrichtig sei oder auf einer Rechtsverletzung im Sinne von Art. 95 BGG beruhe, was sie allein richterlicher Korrektur zugänglich machen würde ( Art. 105 Abs. 2 BGG ), wird von der Beschwerdeführerin zu Recht nicht vorgebracht.</w:t>
      </w:r>
    </w:p>
    <w:p>
      <w:r>
        <w:rPr>
          <w:b/>
        </w:rPr>
        <w:t>E. 2.3</w:t>
      </w:r>
    </w:p>
    <w:p>
      <w:r>
        <w:t>Hinsichtlich des Einkommensvergleichs macht die Beschwerdeführerin ein Valideneinkommen von mindestens Fr. 54'753.09 geltend, ohne diesen Wert indessen zu begründen. Praxisgemäss ist für die Ermittlung des Valideneinkommens entscheidend, was die versicherte Person im Zeitpunkt des frühstmöglichen Rentenbeginns nach dem Beweisgrad der überwiegenden Wahrscheinlichkeit als gesunde Person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 S. 224; RKUV 2000 Nr. U 400 S. 381 E. 2a, U 297/99). Diese Grundsätze hat die Vorinstanz befolgt, wenn sie - in Übereinstimmung mit der IV-Stelle - von dem von der Beschwerdeführerin zuletzt im Pflegeheim X.________ bei einem Vollzeitpensum erzielten Einkommen von Fr. 42'717.- im Jahr 2004 ausging, dieses um die bis 2006 eingetretene Nominallohnentwicklung aufwertete und damit zu einem Einkommen von Fr. 43'834.- gelangte.</w:t>
      </w:r>
    </w:p>
    <w:p>
      <w:r>
        <w:rPr>
          <w:b/>
        </w:rPr>
        <w:t>E. 2.4</w:t>
      </w:r>
    </w:p>
    <w:p>
      <w:r>
        <w:t>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 BGE 129 V 472 E. 4.2.1 S. 475, 126 V 75 E. 3b S. 76 f. mit Hinweisen). Die Versicherte gibt an, seit 1. Juli 2006 als Nachtwache Fr. 1'200.- pro Monat zu verdienen, und hält dementsprechend ein Invalideneinkommen von Fr. 14'400.- pro Jahr für angemessen. Aus dem der Beschwerde beiliegenden Arbeitsvertrag mit dem Verein Y.________ vom 22. Dezember 2006 ergibt sich indessen, dass der von ihr angegebene Wert einem Arbeitspensum von 3 Nächten pro Woche à je 4,5 Arbeitsstunden (von 20.15 bis 23.15 Uhr und von 5 bis 6.30 Uhr mit Schlafmöglichkeit dazwischen) entspricht, womit erstellt ist, dass die Beschwerdeführerin die ihr verbliebene Arbeitsfähigkeit von 80 % (vgl. E. 2.2 hiervor) nicht ausschöpft. Dass die Vorinstanz und die IV-Stelle bei dieser Sachlage auf Tabellenlöhne abgestellt haben, aus welchen unter Zugrundelegung des leicht höheren, massgebenden Tabellenlohnes von Fr. 3'893.- (statt Fr. 3'658.-) ein zumutbarerweise realisierbares Einkommen von Fr. 39'884.- (12 x Fr. 3'893.-: 40 x 41,6 x 1.02616 x 0.8 [statt 12 x Fr. 3'658.- : 40 x 41,6 x 1.02616 x 0.8 = Fr. 36'521.-]) resultierte, lässt sich für die Zeit bis Verfügungserlass (7. Mai 2007) nicht beanstanden. Aus der Gegenüberstellung der beiden Vergleichseinkommen ergibt sich somit kein rentenbegründender Invaliditätsgrad von wenigstens 40 % ( Art. 28 Abs. 1 IVG ).</w:t>
      </w:r>
    </w:p>
    <w:p>
      <w:r>
        <w:rPr>
          <w:b/>
        </w:rPr>
        <w:t>E. 3</w:t>
      </w:r>
    </w:p>
    <w:p>
      <w:r>
        <w:t>Da die Beschwerde offensichtlich unbegründet ist, wird sie im Verfahren nach Art. 109 Abs. 2 lit. a BGG erledigt. Mit Blick auf diesen Ausgang des Prozesses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