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819/2013 vom 20. März 2014</w:t>
      </w:r>
    </w:p>
    <w:p>
      <w:r>
        <w:t>Bundesgericht, 2014-03-20, DE</w:t>
      </w:r>
    </w:p>
    <w:p>
      <w:r>
        <w:rPr>
          <w:b/>
        </w:rPr>
        <w:t xml:space="preserve">Quelle: </w:t>
      </w:r>
      <w:r>
        <w:t>https://mcp.opencaselaw.ch/entscheid/bger_9C_819_2013</w:t>
      </w:r>
    </w:p>
    <w:p>
      <w:r>
        <w:t>FR: TF 9C 819/2013 du 20 mars 2014</w:t>
      </w:r>
    </w:p>
    <w:p>
      <w:r>
        <w:t>IT: TF 9C 819/2013 del 20 marzo 2014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die von der IV-Stelle am 13. Januar 2012 nach durchgeführtem Mahn- und Bedenkzeitverfahren ( Art. 21 Abs. 4 ATSG ) verfügte Einstellung der halben Invalidenrente.</w:t>
      </w:r>
    </w:p>
    <w:p>
      <w:r>
        <w:rPr>
          <w:b/>
        </w:rPr>
        <w:t>E. 3.1</w:t>
      </w:r>
    </w:p>
    <w:p>
      <w:r>
        <w:t>Der Beschwerdeführer macht geltend, sein Gesundheitszustand habe sich nicht verbessert. Die orthopädische Stellungnahme der medizinischen Begutachtungsstelle X.________ (vom 14. Juni/ 5. August 2011) stelle lediglich eine andere Beurteilung des gleichen medizinischen Sachverhalts dar und sei deshalb nicht geeignet, eine Verbesserung zu belegen. Bei unverändertem Gesundheitszustand habe er Anspruch auf Weiterausrichtung der bisherigen Rente.</w:t>
      </w:r>
    </w:p>
    <w:p>
      <w:r>
        <w:rPr>
          <w:b/>
        </w:rPr>
        <w:t>E. 3.2</w:t>
      </w:r>
    </w:p>
    <w:p>
      <w:r>
        <w:t>Mit dieser Argumentation übersieht der Beschwerdeführer, dass auch die Vorinstanz nicht von einem verbesserten Gesundheitszustand ausging. Vielmehr hielt sie nach Würdigung der Aktenlage ausdrücklich fest, es sei weder gestützt auf das Gutachten der medizinischen Begutachtungsstelle X.________ vom 14. Juni/ 5. August 2011 eine Verbesserung noch gestützt auf die Berichte des medizinischen Zentrums Y.________ (vom 17. und 24. Oktober 2011 sowie vom 15. Juli 2013) eine Verschlechterung der gesundheitlichen Verhältnisse belegt. Insoweit gehen die einen verbesserten Gesundheitszustand bestreitenden Vorbringen des Beschwerdeführers an der Sache vorbei.</w:t>
      </w:r>
    </w:p>
    <w:p>
      <w:r>
        <w:rPr>
          <w:b/>
        </w:rPr>
        <w:t>E. 4.1</w:t>
      </w:r>
    </w:p>
    <w:p>
      <w:r>
        <w:t>Die Vorinstanz erwog, die vorbehaltlose Überprüfung des Rentenanspruches scheine wegen einer anderweitigen Sachverhaltsänderung gerechtfertigt: Die damalige Rentenzusprache sei im Hinblick darauf erfolgt, dass der Versicherte sich (wie von Dr. med. S.________ empfohlen) Kniegelenksendoprothesen implantieren lasse. Die IV-Stelle habe dem Versicherten unter Hinweis auf Art. 21 Abs. 4 ATSG angedroht, dass sie bei Nichtbefolgen der Aufforderung anlässlich der nächsten amtlichen Revision (im Dezember 2007) den Anspruch so beurteilen werde, wie wenn er sich der Operation unterzogen hätte, was zur Einstellung oder Kürzung der Rente führen könne. Mit dem Unterlassen des indizierten und zumutbaren Eingriffes habe der Beschwerdeführer die ihm auferlegte Schadenminderungspflicht verletzt. Es sei daher nicht zu beanstanden, wenn die IV-Stelle - wie bei der Auferlegung der Schadenminderungspflicht in Aussicht gestellt - von einer Arbeitsfähigkeit von 100 % (in einer physisch und psychisch angepassten Tätigkeit) ausgegangen sei. Ein rentenbegründender Invaliditätsgrad resultiere damit nicht mehr (Valideneinkommen: Fr. 57'138.-; Invalideneinkommen: Fr. 54'129.-). Dies gelte selbst dann, wenn man beim Invalideneinkommen einen behinderungsbedingten Maximalabzug von 25 % auf dem LSE-Tabellenlohn vornehme (was indessen nicht gerechtfertigt sei).</w:t>
      </w:r>
    </w:p>
    <w:p>
      <w:r>
        <w:rPr>
          <w:b/>
        </w:rPr>
        <w:t>E. 4.2</w:t>
      </w:r>
    </w:p>
    <w:p>
      <w:r>
        <w:t>Dieser Auffassung ist vollumfänglich beizupflichten. Der Beschwerdeführer setzt sich mit den vorinstanzlichen Erwägungen zu seiner Schadenminderungspflicht nur insofern auseinander, als er sinngemäss geltend macht, er sei aus psychischen Gründen, insbesondere weil er Angst habe, dass der Eingriff zu Lähmungen führe, nicht bereit, sich der Operation zu unterziehen. Vorab ist festzuhalten, dass es sich um einen Routineeingriff handelt, der mit mindestens überwiegender Wahrscheinlichkeit eine wesentliche Verbesserung des Leidens und damit eine erhebliche Steigerung der Erwerbsfähigkeit mit sich bringt (vgl. dazu Krukemeyer/Möllenhoff, Endoprothetik, Berlin/ New York 2009, S. 89 ff.; vgl. zum erforderlichen Grad der Eignung der Massnahme, eine erhebliche Minderung des versicherten Schadens zu bewirken auch Urteil 9C_82/2013 vom 20. März 2013 E. 3). Die vom Versicherten angeführten Umstände sind nicht geeignet, die Zumutbarkeit der Operation in Frage zu stellen. Insbesondere sind Nervenschädigungen mit der Folge einer bleibenden Lähmung, welches Risiko der Beschwerdeführer thematisiert, bei Kniegelenksendoprothese-Operationen sehr selten (vgl. die auf www.balgrist.ch veröffentlichte Broschüre "Risiken und Revisionsoperationen nach einem künstlichen Kniegelenksersatz"). Im Übrigen erlebt jeder Patient in der präoperativen Phase ein gewisses Mass an Angst und Unsicherheit. Die Akten enthalten keine Anhaltspunkte dafür, dass der Beschwerdeführer nicht in der Lage wäre, trotz diesen den vorgeschlagenen Eingriff durchführen zu lassen (vgl. Urteil des Eidg. Versicherungsgerichts I 462/05 vom 16. August 2006 E. 6.2.1 und 6.2.2).</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