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9C_819/2008 vom 11. November 2008</w:t>
      </w:r>
    </w:p>
    <w:p>
      <w:r>
        <w:t>Bundesgericht, 2008-11-11, DE</w:t>
      </w:r>
    </w:p>
    <w:p>
      <w:r>
        <w:rPr>
          <w:b/>
        </w:rPr>
        <w:t xml:space="preserve">Quelle: </w:t>
      </w:r>
      <w:r>
        <w:t>https://mcp.opencaselaw.ch/entscheid/bger_9C_819_2008</w:t>
      </w:r>
    </w:p>
    <w:p>
      <w:r>
        <w:t>FR: TF 9C_819/2008 du 11 novembre 2008</w:t>
      </w:r>
    </w:p>
    <w:p>
      <w:r>
        <w:t>IT: TF 9C_819/2008 del 11 novembre 2008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über den Umfang des Invalidenrentenanspruchs ( Art. 28 Abs. 1 IVG ), die Bemessung des Invaliditätsgrades bei Erwerbstätigen nach der Einkommensvergleichsmethode ( Art. 28 Abs. 2 IVG in Verbindung mit Art. 16 ATSG ), bei Teilerwerbstätigen nach der gemischten Methode (siehe für die Zeit ab 1. Januar 2004 bis 31. Dezember 2007: Art. 28 Abs. 2ter IVG ) sowie die Rechtsprechung zur Frage, in welchem Ausmass eine versicherte Person ohne Invalidität erwerbstätig wäre ( BGE 125 V 146 E. 2c S. 150), zutreffend wiedergegeben. Darauf kann verwiesen werden.</w:t>
      </w:r>
    </w:p>
    <w:p>
      <w:r>
        <w:rPr>
          <w:b/>
        </w:rPr>
        <w:t>E. 3.1</w:t>
      </w:r>
    </w:p>
    <w:p>
      <w:r>
        <w:t>Das Sozialversicherungsgericht ging mit der IV-Stelle davon aus, dass die Beschwerdeführerin ohne Gesundheitsschaden zu 80 % ausser Haus arbeiten und daneben den Haushalt besorgen würde. Gestützt auf die psychiatrischen und das rheumatologische Gutachten resultiere auf Grund eines Einkommensvergleichs im erwerblichen Bereich eine gewichtete Einschränkung von 34 %, während die Behinderung bei den Hausarbeiten - ebenfalls gewichtet - 4-5 % betrage. Gesamthaft ergebe sich damit ein Invaliditätsgrad von höchstens 39 %, wehalb die Versicherte keine Rente beanspruchen könne.</w:t>
      </w:r>
    </w:p>
    <w:p>
      <w:r>
        <w:rPr>
          <w:b/>
        </w:rPr>
        <w:t>E. 3.2</w:t>
      </w:r>
    </w:p>
    <w:p>
      <w:r>
        <w:t>Die Beschwerdeführerin kritisiert insbesondere die vorinstanzliche Invaliditätsbemessung wie auch die prozentuale Gewichtung der Aufgabenbereiche Haushalt und Erwerbstätigkeit. Ebenso rügt sie, dass die Vorinstanz bei der Berechnung des hypothetischen Invalideneinkommens keinen leidensbedingten Abzug vorgenommen habe. Ein solcher wäre indessen angebracht, weil sie seit fast 10 Jahren aus dem Erwerbsleben ausgeschieden sei. Sie könne nur noch unter erschwerten Bedingungen eine Teilzeitstelle finden. Zufolge lang dauernder Arbeitsabstinenz werde sie nur noch zu einem tieferen als dem durchschnittlichen Lohn als Raumpflegerin tätig sein können.</w:t>
      </w:r>
    </w:p>
    <w:p>
      <w:r>
        <w:rPr>
          <w:b/>
        </w:rPr>
        <w:t>E. 4.1</w:t>
      </w:r>
    </w:p>
    <w:p>
      <w:r>
        <w:t>Soweit die Beschwerdeführerin die Aufteilung der Aufgabenbereiche im Verhältnis von 80 % Erwerbstätigkeit und 20 % Haushalt in Frage stellt, ist ihr entgegenzuhalten, dass es sich dabei um eine verbindliche Sachverhaltsfeststellung handelt (Urteile des Eidgenössischen Versicherungsgerichts I 708/06 vom 23. November 2006 und I 693/06 vom 20. Dezember 2006). In der Beschwerde wird nichts vorgebracht, was auf eine offensichtlich unrichtige oder in Verletzung von Bundesrecht ergangene Feststellung des rechtserheblichen Sachverhalts durch die Vorinstanz im Sinne von Art. 97 Abs. 1 BGG schliessen liesse. Die Kritik an der vom Sozialversicherungsgericht gestützt auf die Gutachten der Dres. med. J.________ (vom 13. Februar 2006) und G.________ (vom 13. Mai 2007) angenommene Arbeitsunfähigkeit von höchstens 50 % im erwerblichen Bereich ist unbegründet; eine offensichtlich unrichtige Sachverhaltsfeststellung wird in der Beschwerde nicht dargelegt. Weshalb die vorinstanzliche Feststellung, die Arbeitsfähigkeit im Haushalt sei nur zu 20-25 % eingeschränkt, willkürlich sein soll, vermag angesichts der Angaben im Gutachten des Psychiaters Dr. G.________ (Beeinträchtigung von 20 %) sowie der Abklärung an Ort und Stelle vom 7. Dezember 2004, welche eine Behinderung von 25 % ergab, nicht einzuleuchten. Im Weiteren beanstandet die Versicherte die gemischte Methode der Invaliditätsbemessung, wie sie die Vorinstanz nach Massgabe der geltenden Rechtsprechung ( BGE 130 V 393 ) angewendet hat, ohne aber vorzubringen, inwiefern der angefochtene Entscheid Bundesrecht verletzen soll.</w:t>
      </w:r>
    </w:p>
    <w:p>
      <w:r>
        <w:rPr>
          <w:b/>
        </w:rPr>
        <w:t>E. 4.2</w:t>
      </w:r>
    </w:p>
    <w:p>
      <w:r>
        <w:t>Was schliesslich die Frage betrifft, ob die Vorinstanz, soweit die Invalidität anhand eines Einkommensvergleichs zu bemessen ist, einen sogenannten Leidensabzug vom Invalideneinkommen hätte vornehmen müssen, handelt es sich um eine vom Bundesgericht frei überprüfbare Rechtsfrage ( BGE 132 V 393 E. 3.3 S. 399). Ob und in welchem Ausmass Tabellenlöhne herabzusetzen sind, hängt nach der Rechtsprechung von sämtlichen persönlichen und beruflichen Umständen des konkreten Einzelfalles ab (leidensbedingte Einschränkung, Alter, Dienstjahre, Nationalität/Aufenthaltskategorie und Beschäftigungsgrad), welche nach pflichtgemässen Ermessen gesamthaft zu schätzen sind. Dabei erlaubt ein Abzug vom statistischen Lohn von insgesamt höchstens 25 %, den verschiedenen Merkmalen, die das Erwerbseinkommen zu beeinflussen vermögen, Rechnung zu tragen ( BGE 126 V 75 E. 5a S. 78 f.). Das kantonale Gericht hat das Vorliegen derartiger, das Erwerbseinkommen beeinflussender Merkmale verneint. Da die Verminderung der Arbeitsfähigkeit aus fachärztlicher Sicht höchstens 50 % beträgt, gereiche die Reduktion des Tabellenlohnes um 50 % der Beschwerdeführerin zum Vorteil. Ferner sei die aus statistischer Sicht lohnerhöhende Wirkung der (hypothetischen) Teilzeitbeschäftigung zu beachten; diese übersteige den Nachteil, der aus der Aufenthaltsbewilligung der Kategorie C resultiert. Die Bedeutung der fehlenden Dienstjahre nehme zudem ab, je niedriger das Anforderungsprofil ist.</w:t>
      </w:r>
    </w:p>
    <w:p>
      <w:r>
        <w:t>Dieser Beurteilung ist beizupflichten. Der Umstand, dass die Versicherte seit Jahren nicht mehr im Erwerbsleben steht, ist nicht geeignet, ein wesentlich tieferes Einkommen als von der Vorinstanz angenommen zu begründen. Ebenso wenig vermag das Alter der 1956 geborenen Beschwerdeführerin ein tieferes Invalideneinkommen zu rechtfertigen, ist doch nicht einzusehen, weshalb eine 52-jährige Frau aus Altersgründen nur mit Mühe eine Teilzeitstelle als Raumpflegerin finden soll, zumal eine derartige Tätigkeit keine lange Einarbeitungszeit erfordert, was einen potenziellen Arbeitgeber allenfalls davon abhalten könnte, eine Person in fortgeschrittenem Alter anzustellen. Schliesslich ist auch eine schlechte Prognose der beiden Sachverständigen hinsichtlich der Wiederaufnahme einer Erwerbstätigkeit durch die Versicherte kein Grund, einen Abzug vom Invalideneinkommen als angezeigt erscheinen zu lassen.</w:t>
      </w:r>
    </w:p>
    <w:p>
      <w:r>
        <w:rPr>
          <w:b/>
        </w:rPr>
        <w:t>E. 5</w:t>
      </w:r>
    </w:p>
    <w:p>
      <w:r>
        <w:t>Dem Gesuch der Beschwerdeführerin um unentgeltliche Rechtspflege ist stattzugeben, da die Bedürftigkeit aktenkundig ist, ihr Antrag nicht als aussichtslos zu bezeichnen und die Vertretung durch einen Anwalt geboten war ( Art. 64 Abs. 1 und 2 BGG ). Die Beschwerdeführerin wird jedoch auf Art. 64 Abs. 4 BGG hingewiesen, wonach sie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