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9C_818/2015 vom 22. März 2016</w:t>
      </w:r>
    </w:p>
    <w:p>
      <w:r>
        <w:t>Bundesgericht, 2016-03-22, FR</w:t>
      </w:r>
    </w:p>
    <w:p>
      <w:r>
        <w:rPr>
          <w:b/>
        </w:rPr>
        <w:t xml:space="preserve">Quelle: </w:t>
      </w:r>
      <w:r>
        <w:t>https://mcp.opencaselaw.ch/entscheid/bger_9C_818_2015</w:t>
      </w:r>
    </w:p>
    <w:p>
      <w:r>
        <w:t>FR: TF 9C_818/2015 du 22 mars 2016</w:t>
      </w:r>
    </w:p>
    <w:p>
      <w:r>
        <w:t>IT: TF 9C_818/2015 del 22 marzo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(cf. art. 97 al. 2 LTF ).</w:t>
      </w:r>
    </w:p>
    <w:p>
      <w:r>
        <w:rPr>
          <w:b/>
        </w:rPr>
        <w:t>E. 2.1</w:t>
      </w:r>
    </w:p>
    <w:p>
      <w:r>
        <w:t>Après avoir dans un premier temps constaté que les conditions d'une reconsidération ( art. 53 al. 2 LPGA ) et d'une révision procédurale ( art. 53 al. 1 LPGA ) n'étaient pas réalisées, la juridiction cantonale a néanmoins confirmé la décision litigieuse pour le motif substitué que les conditions d'une révision au sens de l' art. 17 LPGA étaient réunies. Le litige a donc pour objet le point de savoir si l'invalidité du recourant s'est modifiée - de manière à influencer son droit à la rente - entre le 22 juin 2004, date de la décision initiale par laquelle cette prestation lui a été accordée, et le 22 mai 2013, date de la décision litigieuse.</w:t>
      </w:r>
    </w:p>
    <w:p>
      <w:r>
        <w:rPr>
          <w:b/>
        </w:rPr>
        <w:t>E. 2.2</w:t>
      </w:r>
    </w:p>
    <w:p>
      <w:r>
        <w:t>En vertu de l' art. 17 LPGA ,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Une simple appréciation différente d'un état de fait, qui, pour l'essentiel, est demeuré inchangé n'appelle en revanche pas à une révision au sens de l' art. 17 LPGA ( ATF 112 V 371 consid. 2b p. 372;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3.1</w:t>
      </w:r>
    </w:p>
    <w:p>
      <w:r>
        <w:t>Se fondant sur les conclusions de l'expertise des docteurs B.________ et C.________, laquelle revêtait toutes les qualités pour que lui soit reconnue une pleine valeur probante, la juridiction cantonale a considéré que le recourant était actuellement apte, tant sur le plan physique que psychiatrique ou neuropsychologique, à reprendre son activité habituelle à plein temps, avec toutefois une diminution de rendement de 20 % au plus en raison de la dysthymie/dysphorie. S'il convenait d'admettre que l'expertise constituait une appréciation des faits différente de celle donnée lors de l'octroi initial de la rente d'invalidité par les nombreux médecins auxquels l'office intimé avait demandé de se prononcer, il n'en demeurait pas moins que lesdits médecins avaient retenu une incapacité de travail de 100 % en raison d'une modification durable de la personnalité faisant suite à un état de stress post-traumatique. Il fallait donc admettre qu'une amélioration de la symptomatologie entraînant une amélioration de la capacité de travail était intervenue entre le 22 juin 2004 et le 22 mai 2013, ce qui justifiait une révision matérielle du droit à la rente du recourant en application de l' art. 17 LPGA .</w:t>
      </w:r>
    </w:p>
    <w:p>
      <w:r>
        <w:rPr>
          <w:b/>
        </w:rPr>
        <w:t>E. 3.2</w:t>
      </w:r>
    </w:p>
    <w:p>
      <w:r>
        <w:t>Le recourant reproche à la juridiction cantonale d'avoir contrevenu au principe de la libre appréciation des preuves, ainsi que d'avoir violé le droit fédéral. Le rapport d'expertise établi par les docteurs B.________ et C.________ ne répondait pas aux exigences posées par la jurisprudence en matière de valeur probante, l'appréciation de la situation médicale n'étant pas du tout claire, au niveau notamment de la capacité de travail et de la prise en considération des limitations physiques dont il souffrait depuis son accident et qui avaient justifié l'octroi d'une rente d'invalidité de l'assurance-accidents de 20 %, et les conclusions n'étant pas dûment motivées. Sur le plan du droit, c'est à tort que la juridiction cantonale a estimé que la capacité de travail du recourant s'était améliorée entre le 22 juin 2004 et le 22 mai 2013. Les experts avaient indiqué que l'état de santé était resté inchangé depuis en tout cas l'été 2003 et qu'il n'y avait jamais eu d'affection somatique et neuropsychologique significative; ils avaient également mentionné que la capacité de travail exigible avait, mis à part un arrêt temporaire de six mois, toujours été complète depuis 2001, pour autant que l'activité exercée épargnât les genoux. Dans ces conditions, l'avis des experts représentait uniquement une appréciation différente d'un même état de fait, ce qui, conformément à la jurisprudence, ne constituait pas un motif de révision au sens de l' art. 17 LPGA .</w:t>
      </w:r>
    </w:p>
    <w:p>
      <w:r>
        <w:rPr>
          <w:b/>
        </w:rPr>
        <w:t>E. 4.1</w:t>
      </w:r>
    </w:p>
    <w:p>
      <w:r>
        <w:t>La lecture du jugement attaqué ne permet pas de déterminer sur quels faits objectifs les premiers juges se sont fondés pour considérer que l'état de santé du recourant avait évolué de manière positive. Certes, ils ont - de manière sommaire et péremptoire - prétendu, à la lumière des diagnostics posés et des conclusions relatives à la capacité de travail, que les experts B.________ et C.________ avaient constaté une amélioration de l'état de santé du recourant. Pareille observation ne transparaît toutefois nullement de la teneur des conclusions rapportées dans l'expertise mise en oeuvre par l'office intimé. Comme le met en évidence le recourant, les experts ont affirmé à plusieurs reprises que l'état de santé était demeuré stable depuis 2003 à tout le moins et qu'une pleine capacité de travail était exigible depuis 2001. Indépendamment de ses mérites éventuels, force est de constater que l'expertise des docteurs B.________ et C.________ ne constitue objectivement qu'une appréciation clinique différente de la situation médicale - demeurée inchangée - du recourant. Dans ces conditions, en l'absence d'un motif de révision, la juridiction cantonale n'était pas en droit de confirmer la décision par laquelle l'office intimé est revenu sur sa décision d'octroi de prestations.</w:t>
      </w:r>
    </w:p>
    <w:p>
      <w:r>
        <w:rPr>
          <w:b/>
        </w:rPr>
        <w:t>E. 4.2</w:t>
      </w:r>
    </w:p>
    <w:p>
      <w:r>
        <w:t>Compte tenu de ce qui précède, il n'y a pas lieu d'examiner plus avant les critiques dirigées contre la valeur probante de l'expertise réalisée par les docteurs B.________ et C.________.</w:t>
      </w:r>
    </w:p>
    <w:p>
      <w:r>
        <w:rPr>
          <w:b/>
        </w:rPr>
        <w:t>E. 5</w:t>
      </w:r>
    </w:p>
    <w:p>
      <w:r>
        <w:t>Le recours se révèle bien fondé. Vu l'issue du litige, les frais et les dépens de la procédure fédérale doivent être mis à la charge de l'office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