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818/2010 vom 5. November 2010</w:t>
      </w:r>
    </w:p>
    <w:p>
      <w:r>
        <w:t>Bundesgericht, 2010-11-05, DE</w:t>
      </w:r>
    </w:p>
    <w:p>
      <w:r>
        <w:rPr>
          <w:b/>
        </w:rPr>
        <w:t xml:space="preserve">Quelle: </w:t>
      </w:r>
      <w:r>
        <w:t>https://mcp.opencaselaw.ch/entscheid/bger_9C_818_2010</w:t>
      </w:r>
    </w:p>
    <w:p>
      <w:r>
        <w:t>FR: TF 9C 818/2010 du 5 novembre 2010</w:t>
      </w:r>
    </w:p>
    <w:p>
      <w:r>
        <w:t>IT: TF 9C 818/2010 del 5 novembre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Das kantonale Gericht hat in Würdigung des medizinischen Dossiers, insbesondere gestützt auf die vom Krankentaggeldversicherer eingeholten Unterlagen (Bericht der Klinik X.________ vom 29. November 2007; Gutachten des Dr. med. T.________ vom 19. August 2008) erwogen, dass der medizinische Sachverhalt bis zum massgebenden Zeitpunkt des Verfügungserlasses (hier: 16. April 2009) genügend abgeklärt sei. Nach dem Bericht der Klinik X.________ vom 29. November 2007 sei der Beschwerdeführer für eine leichte bis mittelschwere wechselbelastende Tätigkeit 100 % arbeitsfähig. In psychiatrischer Hinsicht sei auf das Gutachten des Dr. med. T.________ vom 19. August 2008 abzustellen, wonach der Beschwerdeführer aus psychischer Sicht in seiner Arbeitsfähigkeit nicht eingeschränkt sei. Diese beiden ärztlichen Stellungnahmen würden eine zuverlässige Beurteilung des Gesundheitszustandes und der Arbeitsfähigkeit erlauben (Hinweis auf BGE 122 V 157 E. 1c S. 160). Von weiteren Untersuchungen sei somit abzusehen, da davon keine weiterführenden Erkenntnisse zu erwarten seien. Damit sei die IV-Stelle zu Recht von einer 100%igen Arbeitsfähigkeit des Beschwerdeführers in einer adaptierten Tätigkeit ausgegangen. Daraus resultiere kein rentenbegründender Invaliditätsgrad.</w:t>
      </w:r>
    </w:p>
    <w:p>
      <w:r>
        <w:rPr>
          <w:b/>
        </w:rPr>
        <w:t>E. 2.2</w:t>
      </w:r>
    </w:p>
    <w:p>
      <w:r>
        <w:t>Die tatsächlichen Feststellungen des kantonalen Gerichts sind nicht mangelhaft im Sinne von Art. 97 Abs. 1 BGG . Namentlich hat die Vorinstanz eingehend begründet, weshalb sie für die Beurteilung der Arbeits- und Leistungsfähigkeit auf den Bericht der Klinik X.________ vom 29. November 2007 und auf das psychiatrische Gutachten des Dr. med. T.________ vom 19. August 2008 abgestellt hat. Diese Schlussfolgerung ist nach der Aktenlage nicht offensichtlich unrichtig, noch ist darin eine unvollständige Sachverhaltsfeststellung oder in der Ablehnung von Beweisweiterungen eine Verletzung des Untersuchungsgrundsatzes, des rechtlichen Gehörs oder der EMRK zu erblicken. Dass die beiden erwähnten Arztberichte vom Krankentaggeldversicherer eingeholt worden sind, ändert an ihrem Beweiswert für das IV-Verfahren nichts. Insbesondere führt auch der vom Beschwerdeführer erhobene Einwand, dass der Krankentaggeldversicherer bei der Einholung der beiden Berichte seine Mitwirkungsrechte nach Art. 44 ATSG verletzt habe, zu keinem andern Ergebnis. Die Vorbringen in der Beschwerde, welche substanzielle materielle Kritik an den vorinstanzlichen Entscheidungsgrundlagen (Klinik X.________, Dr. med. T.________) vermissen lässt, übersehen, dass auch nach jüngst bestätigter Rechtsprechung kein Anspruch auf gerichtliche Expertise besteht ( BGE 135 V 465 ). Ausschlaggebend bleibt demgegenüber, dass eine umfassende, objektive und inhaltsbezogene freie Beweiswürdigung ( Art. 61 lit. c ATSG ) die Schlüssigkeit der verfügbaren medizinischen Unterlagen bejahen lässt. Das trifft hier zu, und zwar umso mehr als auch Dr. med. H.________, Facharzt FMH für Psychiatrie und Psychotherapie, im Bericht vom 22./25. August 2008 eine 70%ige Arbeitsfähigkeit attestiert hatte.</w:t>
      </w:r>
    </w:p>
    <w:p>
      <w:r>
        <w:rPr>
          <w:b/>
        </w:rPr>
        <w:t>E. 2.3</w:t>
      </w:r>
    </w:p>
    <w:p>
      <w:r>
        <w:t>Die konkrete Invaliditätsbemessung durch Einkommensvergleich ist nicht angefochten. Es besteht kein Anlass zu einer näheren Prüfung ( BGE 125 V 413 E. 1b und 2c S. 415 ff.; 110 V 48 E. 4a S. 53).</w:t>
      </w:r>
    </w:p>
    <w:p>
      <w:r>
        <w:rPr>
          <w:b/>
        </w:rPr>
        <w:t>E. 3</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